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E5" w:rsidRPr="00C76F6B" w:rsidRDefault="00ED7880" w:rsidP="00C76F6B">
      <w:pPr>
        <w:spacing w:line="276" w:lineRule="auto"/>
        <w:jc w:val="center"/>
        <w:outlineLvl w:val="0"/>
        <w:rPr>
          <w:rFonts w:ascii="Times New Roman" w:eastAsia="Times New Roman" w:hAnsi="Times New Roman" w:cs="Times New Roman"/>
          <w:b/>
          <w:bCs/>
          <w:color w:val="342E2F"/>
          <w:kern w:val="36"/>
          <w:sz w:val="28"/>
          <w:szCs w:val="28"/>
        </w:rPr>
      </w:pPr>
      <w:r w:rsidRPr="00C76F6B">
        <w:rPr>
          <w:rFonts w:ascii="Times New Roman" w:eastAsia="Times New Roman" w:hAnsi="Times New Roman" w:cs="Times New Roman"/>
          <w:b/>
          <w:bCs/>
          <w:color w:val="342E2F"/>
          <w:kern w:val="36"/>
          <w:sz w:val="28"/>
          <w:szCs w:val="28"/>
        </w:rPr>
        <w:t xml:space="preserve">ПАМЯТКА </w:t>
      </w:r>
    </w:p>
    <w:p w:rsidR="00D65EF1" w:rsidRPr="00C76F6B" w:rsidRDefault="002C57F4" w:rsidP="00C76F6B">
      <w:pPr>
        <w:spacing w:line="276" w:lineRule="auto"/>
        <w:jc w:val="center"/>
        <w:outlineLvl w:val="0"/>
        <w:rPr>
          <w:rFonts w:ascii="Times New Roman" w:eastAsia="Times New Roman" w:hAnsi="Times New Roman" w:cs="Times New Roman"/>
          <w:bCs/>
          <w:color w:val="342E2F"/>
          <w:kern w:val="36"/>
          <w:sz w:val="28"/>
          <w:szCs w:val="28"/>
        </w:rPr>
      </w:pPr>
      <w:r>
        <w:rPr>
          <w:rFonts w:ascii="Times New Roman" w:eastAsia="Times New Roman" w:hAnsi="Times New Roman" w:cs="Times New Roman"/>
          <w:bCs/>
          <w:color w:val="342E2F"/>
          <w:kern w:val="36"/>
          <w:sz w:val="28"/>
          <w:szCs w:val="28"/>
        </w:rPr>
        <w:t>по действии</w:t>
      </w:r>
      <w:bookmarkStart w:id="0" w:name="_GoBack"/>
      <w:bookmarkEnd w:id="0"/>
      <w:r w:rsidR="00D65EF1" w:rsidRPr="00C76F6B">
        <w:rPr>
          <w:rFonts w:ascii="Times New Roman" w:eastAsia="Times New Roman" w:hAnsi="Times New Roman" w:cs="Times New Roman"/>
          <w:bCs/>
          <w:color w:val="342E2F"/>
          <w:kern w:val="36"/>
          <w:sz w:val="28"/>
          <w:szCs w:val="28"/>
        </w:rPr>
        <w:t xml:space="preserve"> при потравах посевов (краткая)</w:t>
      </w:r>
    </w:p>
    <w:p w:rsidR="00C76F6B" w:rsidRPr="00C76F6B" w:rsidRDefault="00C76F6B" w:rsidP="00C76F6B">
      <w:pPr>
        <w:spacing w:line="276" w:lineRule="auto"/>
        <w:jc w:val="center"/>
        <w:outlineLvl w:val="0"/>
        <w:rPr>
          <w:rFonts w:ascii="Times New Roman" w:eastAsia="Times New Roman" w:hAnsi="Times New Roman" w:cs="Times New Roman"/>
          <w:bCs/>
          <w:color w:val="342E2F"/>
          <w:kern w:val="36"/>
          <w:sz w:val="28"/>
          <w:szCs w:val="28"/>
        </w:rPr>
      </w:pP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При потравах посевов сельскохозяйственных культур </w:t>
      </w:r>
      <w:proofErr w:type="spellStart"/>
      <w:r w:rsidRPr="00C76F6B">
        <w:rPr>
          <w:rFonts w:ascii="Times New Roman" w:eastAsia="Times New Roman" w:hAnsi="Times New Roman" w:cs="Times New Roman"/>
          <w:color w:val="242424"/>
          <w:sz w:val="28"/>
          <w:szCs w:val="28"/>
        </w:rPr>
        <w:t>причинителем</w:t>
      </w:r>
      <w:proofErr w:type="spellEnd"/>
      <w:r w:rsidRPr="00C76F6B">
        <w:rPr>
          <w:rFonts w:ascii="Times New Roman" w:eastAsia="Times New Roman" w:hAnsi="Times New Roman" w:cs="Times New Roman"/>
          <w:color w:val="242424"/>
          <w:sz w:val="28"/>
          <w:szCs w:val="28"/>
        </w:rPr>
        <w:t xml:space="preserve"> вреда признается собственник животного, а также лицо, осуществляющее на законном основании владение и пользование животным. Кроме того, </w:t>
      </w:r>
      <w:proofErr w:type="spellStart"/>
      <w:r w:rsidRPr="00C76F6B">
        <w:rPr>
          <w:rFonts w:ascii="Times New Roman" w:eastAsia="Times New Roman" w:hAnsi="Times New Roman" w:cs="Times New Roman"/>
          <w:color w:val="242424"/>
          <w:sz w:val="28"/>
          <w:szCs w:val="28"/>
        </w:rPr>
        <w:t>причинителем</w:t>
      </w:r>
      <w:proofErr w:type="spellEnd"/>
      <w:r w:rsidRPr="00C76F6B">
        <w:rPr>
          <w:rFonts w:ascii="Times New Roman" w:eastAsia="Times New Roman" w:hAnsi="Times New Roman" w:cs="Times New Roman"/>
          <w:color w:val="242424"/>
          <w:sz w:val="28"/>
          <w:szCs w:val="28"/>
        </w:rPr>
        <w:t xml:space="preserve"> вреда может быть признано лицо, незаконно владеющее животным, по вине которого животное выбыло из обладания законного владельца.</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В случае обнаружения животных на земельном участке, используемом для выращивания сельскохозяйственных культур, собственнику посевов на основании статьи 230 ГК РФ предоставлено право задержать безнадзорный или пригульный скот и,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Если потерпевший задержал безнадзорный скот на земельном участке и собственник известен, то он обязан вернуть его собственнику. Возврат животного предпочтительнее оформить актом приема-передачи, подписанным сторонами, хотя законодательство не содержит такого требования.</w:t>
      </w:r>
    </w:p>
    <w:p w:rsidR="00665063"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В случае отказа от подписания акта, вернуть животное необходимо в присутствии свидетелей по возможности – с видеосъемкой процесса. </w:t>
      </w:r>
    </w:p>
    <w:p w:rsidR="00ED7880" w:rsidRPr="00C76F6B" w:rsidRDefault="00665063"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Д</w:t>
      </w:r>
      <w:r w:rsidR="00ED7880" w:rsidRPr="00C76F6B">
        <w:rPr>
          <w:rFonts w:ascii="Times New Roman" w:eastAsia="Times New Roman" w:hAnsi="Times New Roman" w:cs="Times New Roman"/>
          <w:color w:val="242424"/>
          <w:sz w:val="28"/>
          <w:szCs w:val="28"/>
        </w:rPr>
        <w:t>ля подтверждения обстоятельств дела о принадлежности сельскохозяйственного животного при рассмотрении спора о взыскании убытков могут быть использованы следующие виды доказательств:</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1) выписка из книги (журнала, реестра и т.п.) регистрации сельскохозяйственных животных;</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2) свидетельские показания;</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3) акт приема-передачи животного собственнику;</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4) выписка из </w:t>
      </w:r>
      <w:proofErr w:type="spellStart"/>
      <w:r w:rsidRPr="00C76F6B">
        <w:rPr>
          <w:rFonts w:ascii="Times New Roman" w:eastAsia="Times New Roman" w:hAnsi="Times New Roman" w:cs="Times New Roman"/>
          <w:color w:val="242424"/>
          <w:sz w:val="28"/>
          <w:szCs w:val="28"/>
        </w:rPr>
        <w:t>похозяйственной</w:t>
      </w:r>
      <w:proofErr w:type="spellEnd"/>
      <w:r w:rsidRPr="00C76F6B">
        <w:rPr>
          <w:rFonts w:ascii="Times New Roman" w:eastAsia="Times New Roman" w:hAnsi="Times New Roman" w:cs="Times New Roman"/>
          <w:color w:val="242424"/>
          <w:sz w:val="28"/>
          <w:szCs w:val="28"/>
        </w:rPr>
        <w:t xml:space="preserve"> книги;</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lastRenderedPageBreak/>
        <w:t>5) выписка из государственного племенного регистра или государственной книги племенных животных;</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6) протокол о привлечении к административной ответственности по статье 7.17 КоАП РФ либо решение органа внутренних дел об отказе в возбуждении дела об административном правонарушении или уголовного дела. </w:t>
      </w:r>
    </w:p>
    <w:p w:rsidR="00665063"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При возникновении проблем с идентификацией животного (отсутствие бирок, меток, чипов) можно применять собственные индивидуальные отметки в сочетании с фото- и </w:t>
      </w:r>
      <w:proofErr w:type="spellStart"/>
      <w:r w:rsidRPr="00C76F6B">
        <w:rPr>
          <w:rFonts w:ascii="Times New Roman" w:eastAsia="Times New Roman" w:hAnsi="Times New Roman" w:cs="Times New Roman"/>
          <w:color w:val="242424"/>
          <w:sz w:val="28"/>
          <w:szCs w:val="28"/>
        </w:rPr>
        <w:t>видеофиксацией</w:t>
      </w:r>
      <w:proofErr w:type="spellEnd"/>
      <w:r w:rsidRPr="00C76F6B">
        <w:rPr>
          <w:rFonts w:ascii="Times New Roman" w:eastAsia="Times New Roman" w:hAnsi="Times New Roman" w:cs="Times New Roman"/>
          <w:color w:val="242424"/>
          <w:sz w:val="28"/>
          <w:szCs w:val="28"/>
        </w:rPr>
        <w:t xml:space="preserve"> процесса их нанесения и процедуры передачи собственнику животного. </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К правоотношениям, связанным с потравами посевов сельскохозяйственных культур подлежит применению Указ Президиума Верховного Совета СССР от 11 января 1955 года «Об ответственности за потравы посевов в колхозах и совхозах» (включая изменения, внесенные Указом Президиума ВС СССР от 25 сентября 1987 года № 7764-XI) в части не противоречащей действующему законодательству.</w:t>
      </w:r>
    </w:p>
    <w:p w:rsidR="00ED7880" w:rsidRPr="00C76F6B" w:rsidRDefault="00665063" w:rsidP="00C76F6B">
      <w:pPr>
        <w:spacing w:line="276" w:lineRule="auto"/>
        <w:ind w:firstLine="709"/>
        <w:jc w:val="both"/>
        <w:rPr>
          <w:rFonts w:ascii="Times New Roman" w:eastAsia="Times New Roman" w:hAnsi="Times New Roman" w:cs="Times New Roman"/>
          <w:color w:val="242424"/>
          <w:sz w:val="28"/>
          <w:szCs w:val="28"/>
        </w:rPr>
      </w:pPr>
      <w:proofErr w:type="spellStart"/>
      <w:r w:rsidRPr="00C76F6B">
        <w:rPr>
          <w:rFonts w:ascii="Times New Roman" w:eastAsia="Times New Roman" w:hAnsi="Times New Roman" w:cs="Times New Roman"/>
          <w:color w:val="242424"/>
          <w:sz w:val="28"/>
          <w:szCs w:val="28"/>
        </w:rPr>
        <w:t>П</w:t>
      </w:r>
      <w:r w:rsidR="00ED7880" w:rsidRPr="00C76F6B">
        <w:rPr>
          <w:rFonts w:ascii="Times New Roman" w:eastAsia="Times New Roman" w:hAnsi="Times New Roman" w:cs="Times New Roman"/>
          <w:color w:val="242424"/>
          <w:sz w:val="28"/>
          <w:szCs w:val="28"/>
        </w:rPr>
        <w:t>нктом</w:t>
      </w:r>
      <w:proofErr w:type="spellEnd"/>
      <w:r w:rsidR="00ED7880" w:rsidRPr="00C76F6B">
        <w:rPr>
          <w:rFonts w:ascii="Times New Roman" w:eastAsia="Times New Roman" w:hAnsi="Times New Roman" w:cs="Times New Roman"/>
          <w:color w:val="242424"/>
          <w:sz w:val="28"/>
          <w:szCs w:val="28"/>
        </w:rPr>
        <w:t xml:space="preserve"> 2 данного Указа определение размера ущерба, причиненного потравой посевов, производится комиссией в составе представителя местного органа управления, агронома в присутствии владельца скота и птицы, причинивших потраву посевов. При неявке владельца скота и птицы, определение размера ущерба производится комиссией в его отсутствии.</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По результатам работы комиссии составляется акт о потравах посевов сельскохозяйственных культур. Для составления акта, помимо представителя органа местного самоуправления, агронома, </w:t>
      </w:r>
      <w:proofErr w:type="spellStart"/>
      <w:r w:rsidRPr="00C76F6B">
        <w:rPr>
          <w:rFonts w:ascii="Times New Roman" w:eastAsia="Times New Roman" w:hAnsi="Times New Roman" w:cs="Times New Roman"/>
          <w:color w:val="242424"/>
          <w:sz w:val="28"/>
          <w:szCs w:val="28"/>
        </w:rPr>
        <w:t>причинителя</w:t>
      </w:r>
      <w:proofErr w:type="spellEnd"/>
      <w:r w:rsidRPr="00C76F6B">
        <w:rPr>
          <w:rFonts w:ascii="Times New Roman" w:eastAsia="Times New Roman" w:hAnsi="Times New Roman" w:cs="Times New Roman"/>
          <w:color w:val="242424"/>
          <w:sz w:val="28"/>
          <w:szCs w:val="28"/>
        </w:rPr>
        <w:t xml:space="preserve"> вреда и потерпевшего могут быть привлечены и иные лица, например, свидетели совершения правонарушения; собственники, землевладельцы, землепользователи, арендаторы смежных земельных участков; представители органов полиции; представители сельскохозяйственных товаропроизводителей, осуществляющих выращивание сельскохозяйственных культур в сходных агроклиматических условиях и т.п.</w:t>
      </w:r>
    </w:p>
    <w:p w:rsidR="00ED7880" w:rsidRPr="00C76F6B" w:rsidRDefault="00ED7880"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 xml:space="preserve">В случае неявки владельца скота для составления акта о потравах посевов, акт составляется в его отсутствие, в данной ситуации в суд необходимо представить доказательства надлежащего уведомления </w:t>
      </w:r>
      <w:proofErr w:type="spellStart"/>
      <w:r w:rsidRPr="00C76F6B">
        <w:rPr>
          <w:rFonts w:ascii="Times New Roman" w:eastAsia="Times New Roman" w:hAnsi="Times New Roman" w:cs="Times New Roman"/>
          <w:color w:val="242424"/>
          <w:sz w:val="28"/>
          <w:szCs w:val="28"/>
        </w:rPr>
        <w:t>причинителя</w:t>
      </w:r>
      <w:proofErr w:type="spellEnd"/>
      <w:r w:rsidRPr="00C76F6B">
        <w:rPr>
          <w:rFonts w:ascii="Times New Roman" w:eastAsia="Times New Roman" w:hAnsi="Times New Roman" w:cs="Times New Roman"/>
          <w:color w:val="242424"/>
          <w:sz w:val="28"/>
          <w:szCs w:val="28"/>
        </w:rPr>
        <w:t xml:space="preserve"> вреда о месте и времени составления акта.</w:t>
      </w:r>
    </w:p>
    <w:p w:rsidR="00ED7880" w:rsidRPr="00C76F6B" w:rsidRDefault="00665063" w:rsidP="00C76F6B">
      <w:pPr>
        <w:spacing w:line="276" w:lineRule="auto"/>
        <w:ind w:firstLine="709"/>
        <w:jc w:val="both"/>
        <w:rPr>
          <w:rFonts w:ascii="Times New Roman" w:eastAsia="Times New Roman" w:hAnsi="Times New Roman" w:cs="Times New Roman"/>
          <w:color w:val="242424"/>
          <w:sz w:val="28"/>
          <w:szCs w:val="28"/>
        </w:rPr>
      </w:pPr>
      <w:r w:rsidRPr="00C76F6B">
        <w:rPr>
          <w:rFonts w:ascii="Times New Roman" w:eastAsia="Times New Roman" w:hAnsi="Times New Roman" w:cs="Times New Roman"/>
          <w:color w:val="242424"/>
          <w:sz w:val="28"/>
          <w:szCs w:val="28"/>
        </w:rPr>
        <w:t>В</w:t>
      </w:r>
      <w:r w:rsidR="00ED7880" w:rsidRPr="00C76F6B">
        <w:rPr>
          <w:rFonts w:ascii="Times New Roman" w:eastAsia="Times New Roman" w:hAnsi="Times New Roman" w:cs="Times New Roman"/>
          <w:color w:val="242424"/>
          <w:sz w:val="28"/>
          <w:szCs w:val="28"/>
        </w:rPr>
        <w:t xml:space="preserve"> соответствии с абзацем вторым статьи 232 и пунктом 2 статьи 229 ГК РФ задержавшее безнадзорных домашних животных лицо имеет право требовать от лица, уполномоченного на получение вещи (собственника, иного владельца или их представителей), возмещения расходов на содержание безнадзорных животных и вознаграждения за находку в размере </w:t>
      </w:r>
      <w:r w:rsidR="00ED7880" w:rsidRPr="00C76F6B">
        <w:rPr>
          <w:rFonts w:ascii="Times New Roman" w:eastAsia="Times New Roman" w:hAnsi="Times New Roman" w:cs="Times New Roman"/>
          <w:color w:val="242424"/>
          <w:sz w:val="28"/>
          <w:szCs w:val="28"/>
        </w:rPr>
        <w:lastRenderedPageBreak/>
        <w:t>до 20% от стоимости вещи. Однако право на вознаграждение возникает лишь в том случае, если лицо, задержавшее безнадзорное животное, заявил о нем в полицию или в орган местного самоуправления и не утаивал его, а право на возмещение расходов на содержание животного должно рассчитываться с зачетом выгод, извлеченных от пользования им. Данные денежные средства также могут быть взысканы с собственника или иного законного владельца животного, которому оно было возвращено, в судебном порядке, если он отказался удовлетворить требование добровольно.</w:t>
      </w:r>
    </w:p>
    <w:p w:rsidR="005F2B86" w:rsidRPr="00C76F6B" w:rsidRDefault="005F2B86" w:rsidP="00C76F6B">
      <w:pPr>
        <w:shd w:val="clear" w:color="auto" w:fill="FFFFFF"/>
        <w:spacing w:line="276" w:lineRule="auto"/>
        <w:ind w:firstLine="709"/>
        <w:jc w:val="both"/>
        <w:rPr>
          <w:rFonts w:ascii="Times New Roman" w:eastAsia="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t>В случае потравы посевов пострадавший собственник имеет право обратиться в правоохранительные органы с заявлением о привлечении к уголовной ответственности виновного лица либо по факту уничтожения своего имущества. Согласно ст. 1064 Гражданского кодекса РФ вред, причиненный имуществу гражданина, а также юридического лица, подлежит возмещению в полном объеме лицом, причинившим вред.</w:t>
      </w:r>
    </w:p>
    <w:p w:rsidR="005F2B86" w:rsidRPr="00C76F6B" w:rsidRDefault="005F2B86" w:rsidP="00C76F6B">
      <w:pPr>
        <w:shd w:val="clear" w:color="auto" w:fill="FFFFFF"/>
        <w:spacing w:line="276" w:lineRule="auto"/>
        <w:ind w:firstLine="709"/>
        <w:jc w:val="both"/>
        <w:rPr>
          <w:rFonts w:ascii="Times New Roman" w:eastAsia="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t>Однако на практике нередко складывается такая ситуация, когда собственник либо владелец чужого скота неизвестен.</w:t>
      </w:r>
    </w:p>
    <w:p w:rsidR="005F2B86" w:rsidRPr="00C76F6B" w:rsidRDefault="005F2B86" w:rsidP="00C76F6B">
      <w:pPr>
        <w:shd w:val="clear" w:color="auto" w:fill="FFFFFF"/>
        <w:spacing w:line="276" w:lineRule="auto"/>
        <w:ind w:firstLine="709"/>
        <w:jc w:val="both"/>
        <w:rPr>
          <w:rFonts w:ascii="Times New Roman" w:eastAsia="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t>Удержание пострадавшим в своем владении обнаруженного на посевах скота при наличии признаков потравы будет рассматриваться как самозащита. При этом следует руководствоваться признаком соразмерности причиненного потравой посевов ущерба и стоимостью удерживаемого скота. В случае появления собственника скота, последний обязан полностью возместить причиненный ущерб и в этом случае имеет право требовать возврата скота, а в случае его забоя, получения дохода от его реализации (исключая понесенные пострадавшим убытки).</w:t>
      </w:r>
    </w:p>
    <w:p w:rsidR="005F2B86" w:rsidRPr="00C76F6B" w:rsidRDefault="005F2B86" w:rsidP="00C76F6B">
      <w:pPr>
        <w:spacing w:line="276" w:lineRule="auto"/>
        <w:ind w:firstLine="820"/>
        <w:jc w:val="both"/>
        <w:rPr>
          <w:rFonts w:ascii="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t>В любом случае потерпевшему владельцу посевов следует действовать законными способами защиты собственных имущественных интересов.</w:t>
      </w:r>
    </w:p>
    <w:p w:rsidR="005F2B86" w:rsidRPr="00C76F6B" w:rsidRDefault="005F2B86" w:rsidP="00C76F6B">
      <w:pPr>
        <w:spacing w:line="276" w:lineRule="auto"/>
        <w:ind w:firstLine="820"/>
        <w:jc w:val="both"/>
        <w:rPr>
          <w:rFonts w:ascii="Times New Roman" w:hAnsi="Times New Roman" w:cs="Times New Roman"/>
          <w:color w:val="000000" w:themeColor="text1"/>
          <w:sz w:val="28"/>
          <w:szCs w:val="28"/>
        </w:rPr>
      </w:pPr>
    </w:p>
    <w:p w:rsidR="005F2B86" w:rsidRPr="00C76F6B" w:rsidRDefault="005F2B86" w:rsidP="00C76F6B">
      <w:pPr>
        <w:spacing w:line="276" w:lineRule="auto"/>
        <w:ind w:firstLine="820"/>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Одной из административных мер, направленных на профилактику потрав является разработка и утверждение порядка выпаса сельскохозяйственных животных на территории муниципального образования.</w:t>
      </w:r>
    </w:p>
    <w:p w:rsidR="005F2B86" w:rsidRPr="00C76F6B" w:rsidRDefault="005F2B86" w:rsidP="00C76F6B">
      <w:pPr>
        <w:shd w:val="clear" w:color="auto" w:fill="FFFFFF"/>
        <w:spacing w:line="276" w:lineRule="auto"/>
        <w:ind w:firstLine="708"/>
        <w:jc w:val="both"/>
        <w:rPr>
          <w:rFonts w:ascii="Times New Roman" w:eastAsia="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t>Установление правил содержания сельскохозяйственных животных относится к полномочиям органов местного самоуправления поселений в рамках полномочий по установлению правил благоустройства территорий муниципальных образований, предусмотренных статьями 14, 16 Федерального закона от 06.10.2003 № 131-ФЗ «Об общих принципах организации местного самоуправления в Российской Федерации».</w:t>
      </w:r>
    </w:p>
    <w:p w:rsidR="005F2B86" w:rsidRPr="00C76F6B" w:rsidRDefault="005F2B86" w:rsidP="00C76F6B">
      <w:pPr>
        <w:shd w:val="clear" w:color="auto" w:fill="FFFFFF"/>
        <w:spacing w:line="276" w:lineRule="auto"/>
        <w:ind w:firstLine="708"/>
        <w:jc w:val="both"/>
        <w:rPr>
          <w:rFonts w:ascii="Times New Roman" w:eastAsia="Times New Roman" w:hAnsi="Times New Roman" w:cs="Times New Roman"/>
          <w:color w:val="000000" w:themeColor="text1"/>
          <w:sz w:val="28"/>
          <w:szCs w:val="28"/>
        </w:rPr>
      </w:pPr>
      <w:r w:rsidRPr="00C76F6B">
        <w:rPr>
          <w:rFonts w:ascii="Times New Roman" w:eastAsia="Times New Roman" w:hAnsi="Times New Roman" w:cs="Times New Roman"/>
          <w:color w:val="000000" w:themeColor="text1"/>
          <w:sz w:val="28"/>
          <w:szCs w:val="28"/>
        </w:rPr>
        <w:lastRenderedPageBreak/>
        <w:t xml:space="preserve">В связи с чем администрации у себя разрабатывают порядки и правила в которых </w:t>
      </w:r>
      <w:proofErr w:type="gramStart"/>
      <w:r w:rsidRPr="00C76F6B">
        <w:rPr>
          <w:rFonts w:ascii="Times New Roman" w:eastAsia="Times New Roman" w:hAnsi="Times New Roman" w:cs="Times New Roman"/>
          <w:color w:val="000000" w:themeColor="text1"/>
          <w:sz w:val="28"/>
          <w:szCs w:val="28"/>
        </w:rPr>
        <w:t>определяют  порядок</w:t>
      </w:r>
      <w:proofErr w:type="gramEnd"/>
      <w:r w:rsidRPr="00C76F6B">
        <w:rPr>
          <w:rFonts w:ascii="Times New Roman" w:eastAsia="Times New Roman" w:hAnsi="Times New Roman" w:cs="Times New Roman"/>
          <w:color w:val="000000" w:themeColor="text1"/>
          <w:sz w:val="28"/>
          <w:szCs w:val="28"/>
        </w:rPr>
        <w:t xml:space="preserve"> работы по данному направлению. </w:t>
      </w:r>
    </w:p>
    <w:p w:rsidR="005F2B86" w:rsidRPr="00C76F6B" w:rsidRDefault="005F2B86" w:rsidP="00C76F6B">
      <w:pPr>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 xml:space="preserve">Также главам муниципальных образований </w:t>
      </w:r>
      <w:r w:rsidR="00C76F6B">
        <w:rPr>
          <w:rFonts w:ascii="Times New Roman" w:hAnsi="Times New Roman" w:cs="Times New Roman"/>
          <w:color w:val="000000" w:themeColor="text1"/>
          <w:sz w:val="28"/>
          <w:szCs w:val="28"/>
        </w:rPr>
        <w:t>рекомендуется</w:t>
      </w:r>
      <w:r w:rsidRPr="00C76F6B">
        <w:rPr>
          <w:rFonts w:ascii="Times New Roman" w:hAnsi="Times New Roman" w:cs="Times New Roman"/>
          <w:color w:val="000000" w:themeColor="text1"/>
          <w:sz w:val="28"/>
          <w:szCs w:val="28"/>
        </w:rPr>
        <w:t xml:space="preserve"> проводить собрания граждан, на которых:</w:t>
      </w:r>
    </w:p>
    <w:p w:rsidR="005F2B86" w:rsidRPr="00C76F6B" w:rsidRDefault="005F2B86" w:rsidP="00C76F6B">
      <w:pPr>
        <w:widowControl w:val="0"/>
        <w:tabs>
          <w:tab w:val="left" w:pos="1079"/>
        </w:tabs>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разъяснять условия организации выпаса сельскохозяйственных животных;</w:t>
      </w:r>
    </w:p>
    <w:p w:rsidR="005F2B86" w:rsidRPr="00C76F6B" w:rsidRDefault="005F2B86" w:rsidP="00C76F6B">
      <w:pPr>
        <w:widowControl w:val="0"/>
        <w:tabs>
          <w:tab w:val="left" w:pos="944"/>
        </w:tabs>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предоставлять информацию о выделенных пастбищах на территории поселения;</w:t>
      </w:r>
    </w:p>
    <w:p w:rsidR="005F2B86" w:rsidRPr="00C76F6B" w:rsidRDefault="005F2B86" w:rsidP="00C76F6B">
      <w:pPr>
        <w:widowControl w:val="0"/>
        <w:tabs>
          <w:tab w:val="left" w:pos="1079"/>
        </w:tabs>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сообщать контактные данные специалиста администрации, ответственного за организацию пастьбы;</w:t>
      </w:r>
    </w:p>
    <w:p w:rsidR="005F2B86" w:rsidRPr="00C76F6B" w:rsidRDefault="005F2B86" w:rsidP="00C76F6B">
      <w:pPr>
        <w:widowControl w:val="0"/>
        <w:tabs>
          <w:tab w:val="left" w:pos="1079"/>
        </w:tabs>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 xml:space="preserve">разъяснять порядок деятельности административных комиссий, осуществляющих рассмотрение дел об административных правонарушениях в сфере нарушения правил выпаса скота. </w:t>
      </w:r>
    </w:p>
    <w:p w:rsidR="005F2B86" w:rsidRPr="00C76F6B" w:rsidRDefault="005F2B86" w:rsidP="00C76F6B">
      <w:pPr>
        <w:spacing w:line="276" w:lineRule="auto"/>
        <w:ind w:firstLine="708"/>
        <w:jc w:val="both"/>
        <w:rPr>
          <w:rFonts w:ascii="Times New Roman" w:hAnsi="Times New Roman" w:cs="Times New Roman"/>
          <w:color w:val="000000" w:themeColor="text1"/>
          <w:sz w:val="28"/>
          <w:szCs w:val="28"/>
        </w:rPr>
      </w:pPr>
    </w:p>
    <w:p w:rsidR="005F2B86" w:rsidRPr="00C76F6B" w:rsidRDefault="005F2B86" w:rsidP="00C76F6B">
      <w:pPr>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 xml:space="preserve">В качестве главной управленческой меры стоит рассматривать обеспечение органами местного самоуправления организованного выпаса скота (может осуществляться как частными лицами, организациями, так и муниципальными унитарными предприятиями (пастухи). </w:t>
      </w:r>
    </w:p>
    <w:p w:rsidR="005F2B86" w:rsidRPr="00C76F6B" w:rsidRDefault="005F2B86" w:rsidP="00C76F6B">
      <w:pPr>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 xml:space="preserve">Администрациям поселений следует согласовывать маршруты прогона скота на места, специально отведенные под пастбища, с таким расчетом, чтобы свести к минимуму риски осуществления потрав. </w:t>
      </w:r>
    </w:p>
    <w:p w:rsidR="005F2B86" w:rsidRPr="00C76F6B" w:rsidRDefault="005F2B86" w:rsidP="00C76F6B">
      <w:pPr>
        <w:spacing w:line="276" w:lineRule="auto"/>
        <w:ind w:firstLine="708"/>
        <w:jc w:val="both"/>
        <w:rPr>
          <w:rFonts w:ascii="Times New Roman" w:hAnsi="Times New Roman" w:cs="Times New Roman"/>
          <w:color w:val="000000" w:themeColor="text1"/>
          <w:sz w:val="28"/>
          <w:szCs w:val="28"/>
        </w:rPr>
      </w:pPr>
      <w:r w:rsidRPr="00C76F6B">
        <w:rPr>
          <w:rFonts w:ascii="Times New Roman" w:hAnsi="Times New Roman" w:cs="Times New Roman"/>
          <w:color w:val="000000" w:themeColor="text1"/>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5F2B86" w:rsidRPr="00C76F6B" w:rsidRDefault="005F2B86" w:rsidP="00C76F6B">
      <w:pPr>
        <w:spacing w:line="276" w:lineRule="auto"/>
        <w:ind w:firstLine="708"/>
        <w:jc w:val="both"/>
        <w:rPr>
          <w:rFonts w:ascii="Times New Roman" w:eastAsia="Times New Roman" w:hAnsi="Times New Roman" w:cs="Times New Roman"/>
          <w:color w:val="242424"/>
          <w:sz w:val="28"/>
          <w:szCs w:val="28"/>
        </w:rPr>
      </w:pPr>
    </w:p>
    <w:sectPr w:rsidR="005F2B86" w:rsidRPr="00C76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18D5"/>
    <w:multiLevelType w:val="multilevel"/>
    <w:tmpl w:val="90EE6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80"/>
    <w:rsid w:val="00166754"/>
    <w:rsid w:val="002C57F4"/>
    <w:rsid w:val="0040551D"/>
    <w:rsid w:val="00481BF8"/>
    <w:rsid w:val="005F2B86"/>
    <w:rsid w:val="00616A16"/>
    <w:rsid w:val="00665063"/>
    <w:rsid w:val="00B824A6"/>
    <w:rsid w:val="00C76F6B"/>
    <w:rsid w:val="00D03AD3"/>
    <w:rsid w:val="00D65EF1"/>
    <w:rsid w:val="00DD5061"/>
    <w:rsid w:val="00DD710E"/>
    <w:rsid w:val="00E36BE5"/>
    <w:rsid w:val="00ED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2E47"/>
  <w15:docId w15:val="{63E1F40A-F577-4392-800C-A403F058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A6"/>
    <w:pPr>
      <w:spacing w:after="0" w:line="240" w:lineRule="auto"/>
    </w:pPr>
    <w:rPr>
      <w:rFonts w:ascii="Tms Rmn" w:hAnsi="Tms Rmn"/>
      <w:sz w:val="20"/>
      <w:szCs w:val="20"/>
      <w:lang w:eastAsia="ru-RU"/>
    </w:rPr>
  </w:style>
  <w:style w:type="paragraph" w:styleId="1">
    <w:name w:val="heading 1"/>
    <w:basedOn w:val="a"/>
    <w:link w:val="10"/>
    <w:uiPriority w:val="9"/>
    <w:qFormat/>
    <w:rsid w:val="00ED788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4A6"/>
    <w:pPr>
      <w:ind w:left="720"/>
      <w:contextualSpacing/>
    </w:pPr>
  </w:style>
  <w:style w:type="paragraph" w:styleId="a4">
    <w:name w:val="Body Text"/>
    <w:basedOn w:val="a"/>
    <w:link w:val="a5"/>
    <w:uiPriority w:val="1"/>
    <w:qFormat/>
    <w:rsid w:val="00B824A6"/>
    <w:pPr>
      <w:widowControl w:val="0"/>
      <w:autoSpaceDE w:val="0"/>
      <w:autoSpaceDN w:val="0"/>
    </w:pPr>
    <w:rPr>
      <w:rFonts w:ascii="Times New Roman" w:eastAsia="Times New Roman" w:hAnsi="Times New Roman" w:cs="Times New Roman"/>
      <w:sz w:val="27"/>
      <w:szCs w:val="27"/>
      <w:lang w:eastAsia="en-US"/>
    </w:rPr>
  </w:style>
  <w:style w:type="character" w:customStyle="1" w:styleId="a5">
    <w:name w:val="Основной текст Знак"/>
    <w:basedOn w:val="a0"/>
    <w:link w:val="a4"/>
    <w:uiPriority w:val="1"/>
    <w:rsid w:val="00B824A6"/>
    <w:rPr>
      <w:rFonts w:ascii="Times New Roman" w:eastAsia="Times New Roman" w:hAnsi="Times New Roman" w:cs="Times New Roman"/>
      <w:sz w:val="27"/>
      <w:szCs w:val="27"/>
    </w:rPr>
  </w:style>
  <w:style w:type="character" w:customStyle="1" w:styleId="10">
    <w:name w:val="Заголовок 1 Знак"/>
    <w:basedOn w:val="a0"/>
    <w:link w:val="1"/>
    <w:uiPriority w:val="9"/>
    <w:rsid w:val="00ED7880"/>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ED7880"/>
    <w:pPr>
      <w:spacing w:before="100" w:beforeAutospacing="1" w:after="100" w:afterAutospacing="1"/>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03AD3"/>
    <w:rPr>
      <w:rFonts w:ascii="Tahoma" w:hAnsi="Tahoma" w:cs="Tahoma"/>
      <w:sz w:val="16"/>
      <w:szCs w:val="16"/>
    </w:rPr>
  </w:style>
  <w:style w:type="character" w:customStyle="1" w:styleId="a8">
    <w:name w:val="Текст выноски Знак"/>
    <w:basedOn w:val="a0"/>
    <w:link w:val="a7"/>
    <w:uiPriority w:val="99"/>
    <w:semiHidden/>
    <w:rsid w:val="00D03AD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1178">
      <w:bodyDiv w:val="1"/>
      <w:marLeft w:val="0"/>
      <w:marRight w:val="0"/>
      <w:marTop w:val="0"/>
      <w:marBottom w:val="0"/>
      <w:divBdr>
        <w:top w:val="none" w:sz="0" w:space="0" w:color="auto"/>
        <w:left w:val="none" w:sz="0" w:space="0" w:color="auto"/>
        <w:bottom w:val="none" w:sz="0" w:space="0" w:color="auto"/>
        <w:right w:val="none" w:sz="0" w:space="0" w:color="auto"/>
      </w:divBdr>
      <w:divsChild>
        <w:div w:id="302272179">
          <w:marLeft w:val="0"/>
          <w:marRight w:val="0"/>
          <w:marTop w:val="0"/>
          <w:marBottom w:val="0"/>
          <w:divBdr>
            <w:top w:val="none" w:sz="0" w:space="0" w:color="auto"/>
            <w:left w:val="none" w:sz="0" w:space="0" w:color="auto"/>
            <w:bottom w:val="none" w:sz="0" w:space="0" w:color="auto"/>
            <w:right w:val="none" w:sz="0" w:space="0" w:color="auto"/>
          </w:divBdr>
        </w:div>
        <w:div w:id="1592740580">
          <w:marLeft w:val="0"/>
          <w:marRight w:val="0"/>
          <w:marTop w:val="0"/>
          <w:marBottom w:val="0"/>
          <w:divBdr>
            <w:top w:val="none" w:sz="0" w:space="0" w:color="auto"/>
            <w:left w:val="none" w:sz="0" w:space="0" w:color="auto"/>
            <w:bottom w:val="none" w:sz="0" w:space="0" w:color="auto"/>
            <w:right w:val="none" w:sz="0" w:space="0" w:color="auto"/>
          </w:divBdr>
          <w:divsChild>
            <w:div w:id="810680436">
              <w:marLeft w:val="0"/>
              <w:marRight w:val="0"/>
              <w:marTop w:val="0"/>
              <w:marBottom w:val="0"/>
              <w:divBdr>
                <w:top w:val="none" w:sz="0" w:space="0" w:color="auto"/>
                <w:left w:val="none" w:sz="0" w:space="0" w:color="auto"/>
                <w:bottom w:val="none" w:sz="0" w:space="0" w:color="auto"/>
                <w:right w:val="none" w:sz="0" w:space="0" w:color="auto"/>
              </w:divBdr>
              <w:divsChild>
                <w:div w:id="94248379">
                  <w:marLeft w:val="0"/>
                  <w:marRight w:val="0"/>
                  <w:marTop w:val="0"/>
                  <w:marBottom w:val="0"/>
                  <w:divBdr>
                    <w:top w:val="none" w:sz="0" w:space="0" w:color="auto"/>
                    <w:left w:val="none" w:sz="0" w:space="0" w:color="auto"/>
                    <w:bottom w:val="none" w:sz="0" w:space="0" w:color="auto"/>
                    <w:right w:val="none" w:sz="0" w:space="0" w:color="auto"/>
                  </w:divBdr>
                  <w:divsChild>
                    <w:div w:id="1595163466">
                      <w:marLeft w:val="0"/>
                      <w:marRight w:val="0"/>
                      <w:marTop w:val="0"/>
                      <w:marBottom w:val="0"/>
                      <w:divBdr>
                        <w:top w:val="none" w:sz="0" w:space="0" w:color="auto"/>
                        <w:left w:val="none" w:sz="0" w:space="0" w:color="auto"/>
                        <w:bottom w:val="none" w:sz="0" w:space="0" w:color="auto"/>
                        <w:right w:val="none" w:sz="0" w:space="0" w:color="auto"/>
                      </w:divBdr>
                      <w:divsChild>
                        <w:div w:id="91322112">
                          <w:marLeft w:val="0"/>
                          <w:marRight w:val="0"/>
                          <w:marTop w:val="0"/>
                          <w:marBottom w:val="0"/>
                          <w:divBdr>
                            <w:top w:val="none" w:sz="0" w:space="0" w:color="auto"/>
                            <w:left w:val="none" w:sz="0" w:space="0" w:color="auto"/>
                            <w:bottom w:val="none" w:sz="0" w:space="0" w:color="auto"/>
                            <w:right w:val="none" w:sz="0" w:space="0" w:color="auto"/>
                          </w:divBdr>
                          <w:divsChild>
                            <w:div w:id="1430271086">
                              <w:marLeft w:val="0"/>
                              <w:marRight w:val="0"/>
                              <w:marTop w:val="0"/>
                              <w:marBottom w:val="0"/>
                              <w:divBdr>
                                <w:top w:val="none" w:sz="0" w:space="0" w:color="auto"/>
                                <w:left w:val="none" w:sz="0" w:space="0" w:color="auto"/>
                                <w:bottom w:val="none" w:sz="0" w:space="0" w:color="auto"/>
                                <w:right w:val="none" w:sz="0" w:space="0" w:color="auto"/>
                              </w:divBdr>
                            </w:div>
                          </w:divsChild>
                        </w:div>
                        <w:div w:id="1652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Лобыцин</dc:creator>
  <cp:lastModifiedBy>Элемент</cp:lastModifiedBy>
  <cp:revision>4</cp:revision>
  <cp:lastPrinted>2025-01-16T01:27:00Z</cp:lastPrinted>
  <dcterms:created xsi:type="dcterms:W3CDTF">2025-01-21T08:51:00Z</dcterms:created>
  <dcterms:modified xsi:type="dcterms:W3CDTF">2025-01-28T00:22:00Z</dcterms:modified>
</cp:coreProperties>
</file>