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A0" w:rsidRDefault="00403DA0" w:rsidP="00403DA0">
      <w:pPr>
        <w:autoSpaceDE w:val="0"/>
        <w:autoSpaceDN w:val="0"/>
        <w:adjustRightInd w:val="0"/>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РОССИЙСКАЯ ФЕДЕРАЦИЯ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ИРКУТСКАЯ ОБЛАСТЬ</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Тулунский район</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АДМИНИСТРАЦИЯ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Азейского сельского поселения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ПОСТАНОВЛЕНИЕ</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403DA0" w:rsidP="005D6412">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_____</w:t>
      </w:r>
      <w:r w:rsidR="005D6412" w:rsidRPr="005D6412">
        <w:rPr>
          <w:rFonts w:ascii="Times New Roman" w:eastAsia="Calibri" w:hAnsi="Times New Roman" w:cs="Times New Roman"/>
          <w:b/>
          <w:bCs/>
          <w:sz w:val="28"/>
          <w:szCs w:val="28"/>
        </w:rPr>
        <w:t xml:space="preserve">2024 г.                                                                                    </w:t>
      </w:r>
      <w:r w:rsidR="0099302C">
        <w:rPr>
          <w:rFonts w:ascii="Times New Roman" w:eastAsia="Calibri" w:hAnsi="Times New Roman" w:cs="Times New Roman"/>
          <w:b/>
          <w:bCs/>
          <w:sz w:val="28"/>
          <w:szCs w:val="28"/>
        </w:rPr>
        <w:t xml:space="preserve">        </w:t>
      </w:r>
      <w:r w:rsidR="005D6412" w:rsidRPr="005D6412">
        <w:rPr>
          <w:rFonts w:ascii="Times New Roman" w:eastAsia="Calibri" w:hAnsi="Times New Roman" w:cs="Times New Roman"/>
          <w:b/>
          <w:bCs/>
          <w:sz w:val="28"/>
          <w:szCs w:val="28"/>
        </w:rPr>
        <w:t xml:space="preserve">  № </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с. Азей</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5D6412">
        <w:rPr>
          <w:rFonts w:ascii="Times New Roman" w:eastAsia="Calibri" w:hAnsi="Times New Roman" w:cs="Times New Roman"/>
          <w:kern w:val="2"/>
          <w:sz w:val="28"/>
          <w:szCs w:val="28"/>
        </w:rPr>
        <w:t>Азейского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Pr="005D6412" w:rsidRDefault="00B53869" w:rsidP="00B53869">
      <w:pPr>
        <w:autoSpaceDE w:val="0"/>
        <w:autoSpaceDN w:val="0"/>
        <w:adjustRightInd w:val="0"/>
        <w:spacing w:after="0" w:line="240" w:lineRule="auto"/>
        <w:ind w:firstLine="709"/>
        <w:jc w:val="center"/>
        <w:rPr>
          <w:rFonts w:ascii="Times New Roman" w:eastAsia="Calibri" w:hAnsi="Times New Roman" w:cs="Times New Roman"/>
          <w:b/>
          <w:bCs/>
          <w:kern w:val="2"/>
          <w:sz w:val="28"/>
          <w:szCs w:val="28"/>
        </w:rPr>
      </w:pPr>
      <w:r w:rsidRPr="005D6412">
        <w:rPr>
          <w:rFonts w:ascii="Times New Roman" w:eastAsia="Calibri" w:hAnsi="Times New Roman" w:cs="Times New Roman"/>
          <w:b/>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5D6412">
        <w:rPr>
          <w:rFonts w:ascii="Times New Roman" w:hAnsi="Times New Roman" w:cs="Times New Roman"/>
          <w:sz w:val="28"/>
          <w:szCs w:val="28"/>
        </w:rPr>
        <w:t>Аз</w:t>
      </w:r>
      <w:r w:rsidRPr="00B53869">
        <w:rPr>
          <w:rFonts w:ascii="Times New Roman" w:hAnsi="Times New Roman" w:cs="Times New Roman"/>
          <w:sz w:val="28"/>
          <w:szCs w:val="28"/>
        </w:rPr>
        <w:t xml:space="preserve">ейский вестник» и разместить на официальном сайте </w:t>
      </w:r>
      <w:r w:rsidR="005D6412">
        <w:rPr>
          <w:rFonts w:ascii="Times New Roman" w:hAnsi="Times New Roman" w:cs="Times New Roman"/>
          <w:sz w:val="28"/>
          <w:szCs w:val="28"/>
        </w:rPr>
        <w:t>Азейского</w:t>
      </w:r>
      <w:r w:rsidR="005D6412"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5D6412" w:rsidRPr="00B53869" w:rsidRDefault="005D6412" w:rsidP="00B53869">
      <w:pPr>
        <w:shd w:val="clear" w:color="auto" w:fill="FFFFFF"/>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5D6412">
        <w:rPr>
          <w:rFonts w:ascii="Times New Roman" w:hAnsi="Times New Roman" w:cs="Times New Roman"/>
          <w:sz w:val="28"/>
          <w:szCs w:val="28"/>
        </w:rPr>
        <w:t>Азейского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5D6412">
        <w:rPr>
          <w:rFonts w:ascii="Times New Roman" w:hAnsi="Times New Roman" w:cs="Times New Roman"/>
          <w:sz w:val="28"/>
          <w:szCs w:val="28"/>
        </w:rPr>
        <w:t>Т.Г. Кириллова</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Приложение</w:t>
      </w:r>
      <w:r w:rsidR="0099302C">
        <w:rPr>
          <w:rFonts w:ascii="Times New Roman" w:eastAsia="Times New Roman" w:hAnsi="Times New Roman" w:cs="Times New Roman"/>
          <w:kern w:val="2"/>
          <w:sz w:val="28"/>
          <w:szCs w:val="28"/>
          <w:lang w:eastAsia="ru-RU"/>
        </w:rPr>
        <w:t xml:space="preserve"> </w:t>
      </w:r>
    </w:p>
    <w:p w:rsidR="00B53869" w:rsidRDefault="006D5B5F" w:rsidP="00B53869">
      <w:pPr>
        <w:autoSpaceDE w:val="0"/>
        <w:autoSpaceDN w:val="0"/>
        <w:spacing w:after="0" w:line="240" w:lineRule="auto"/>
        <w:ind w:left="5103"/>
        <w:jc w:val="right"/>
        <w:rPr>
          <w:rFonts w:ascii="Times New Roman" w:eastAsia="Calibri" w:hAnsi="Times New Roman" w:cs="Times New Roman"/>
          <w:bCs/>
          <w:kern w:val="2"/>
          <w:sz w:val="28"/>
          <w:szCs w:val="28"/>
        </w:rPr>
      </w:pPr>
      <w:r>
        <w:rPr>
          <w:rFonts w:ascii="Times New Roman" w:eastAsia="Times New Roman" w:hAnsi="Times New Roman" w:cs="Times New Roman"/>
          <w:kern w:val="2"/>
          <w:sz w:val="28"/>
          <w:szCs w:val="28"/>
          <w:lang w:eastAsia="ru-RU"/>
        </w:rPr>
        <w:t xml:space="preserve">к </w:t>
      </w:r>
      <w:r w:rsidR="0022349B" w:rsidRPr="00CA6202">
        <w:rPr>
          <w:rFonts w:ascii="Times New Roman" w:eastAsia="Times New Roman" w:hAnsi="Times New Roman" w:cs="Times New Roman"/>
          <w:kern w:val="2"/>
          <w:sz w:val="28"/>
          <w:szCs w:val="28"/>
          <w:lang w:eastAsia="ru-RU"/>
        </w:rPr>
        <w:t>постановлени</w:t>
      </w:r>
      <w:r>
        <w:rPr>
          <w:rFonts w:ascii="Times New Roman" w:eastAsia="Times New Roman" w:hAnsi="Times New Roman" w:cs="Times New Roman"/>
          <w:kern w:val="2"/>
          <w:sz w:val="28"/>
          <w:szCs w:val="28"/>
          <w:lang w:eastAsia="ru-RU"/>
        </w:rPr>
        <w:t>ю</w:t>
      </w:r>
      <w:r w:rsidR="0022349B" w:rsidRPr="00CA6202">
        <w:rPr>
          <w:rFonts w:ascii="Times New Roman" w:eastAsia="Times New Roman" w:hAnsi="Times New Roman" w:cs="Times New Roman"/>
          <w:kern w:val="2"/>
          <w:sz w:val="28"/>
          <w:szCs w:val="28"/>
          <w:lang w:eastAsia="ru-RU"/>
        </w:rPr>
        <w:t xml:space="preserve"> </w:t>
      </w:r>
      <w:r w:rsidR="00B53869">
        <w:rPr>
          <w:rFonts w:ascii="Times New Roman" w:eastAsia="Calibri" w:hAnsi="Times New Roman" w:cs="Times New Roman"/>
          <w:bCs/>
          <w:kern w:val="2"/>
          <w:sz w:val="28"/>
          <w:szCs w:val="28"/>
        </w:rPr>
        <w:t xml:space="preserve">Администрации </w:t>
      </w:r>
      <w:r w:rsidR="005D6412">
        <w:rPr>
          <w:rFonts w:ascii="Times New Roman" w:eastAsia="Calibri" w:hAnsi="Times New Roman" w:cs="Times New Roman"/>
          <w:bCs/>
          <w:kern w:val="2"/>
          <w:sz w:val="28"/>
          <w:szCs w:val="28"/>
        </w:rPr>
        <w:t>Азейского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403DA0">
        <w:rPr>
          <w:rFonts w:ascii="Times New Roman" w:eastAsia="Times New Roman" w:hAnsi="Times New Roman" w:cs="Times New Roman"/>
          <w:kern w:val="2"/>
          <w:sz w:val="28"/>
          <w:szCs w:val="28"/>
          <w:lang w:eastAsia="ru-RU"/>
        </w:rPr>
        <w:t>_____</w:t>
      </w:r>
      <w:r w:rsidR="0099302C">
        <w:rPr>
          <w:rFonts w:ascii="Times New Roman" w:eastAsia="Times New Roman" w:hAnsi="Times New Roman" w:cs="Times New Roman"/>
          <w:kern w:val="2"/>
          <w:sz w:val="28"/>
          <w:szCs w:val="28"/>
          <w:lang w:eastAsia="ru-RU"/>
        </w:rPr>
        <w:t>.</w:t>
      </w:r>
      <w:r w:rsidR="00B53869">
        <w:rPr>
          <w:rFonts w:ascii="Times New Roman" w:eastAsia="Times New Roman" w:hAnsi="Times New Roman" w:cs="Times New Roman"/>
          <w:kern w:val="2"/>
          <w:sz w:val="28"/>
          <w:szCs w:val="28"/>
          <w:lang w:eastAsia="ru-RU"/>
        </w:rPr>
        <w:t>2024 г</w:t>
      </w:r>
      <w:r w:rsidR="0099302C">
        <w:rPr>
          <w:rFonts w:ascii="Times New Roman" w:eastAsia="Times New Roman" w:hAnsi="Times New Roman" w:cs="Times New Roman"/>
          <w:kern w:val="2"/>
          <w:sz w:val="28"/>
          <w:szCs w:val="28"/>
          <w:lang w:eastAsia="ru-RU"/>
        </w:rPr>
        <w:t>.</w:t>
      </w:r>
      <w:r w:rsidRPr="00CA6202">
        <w:rPr>
          <w:rFonts w:ascii="Times New Roman" w:eastAsia="Times New Roman" w:hAnsi="Times New Roman" w:cs="Times New Roman"/>
          <w:kern w:val="2"/>
          <w:sz w:val="28"/>
          <w:szCs w:val="28"/>
          <w:lang w:eastAsia="ru-RU"/>
        </w:rPr>
        <w:t xml:space="preserve"> №</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5D6412">
        <w:rPr>
          <w:rFonts w:ascii="Times New Roman" w:eastAsia="Calibri" w:hAnsi="Times New Roman" w:cs="Times New Roman"/>
          <w:bCs/>
          <w:kern w:val="2"/>
          <w:sz w:val="28"/>
          <w:szCs w:val="28"/>
        </w:rPr>
        <w:t>Азейского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5D6412">
        <w:rPr>
          <w:rFonts w:ascii="Times New Roman" w:eastAsia="Calibri" w:hAnsi="Times New Roman" w:cs="Times New Roman"/>
          <w:bCs/>
          <w:kern w:val="2"/>
          <w:sz w:val="28"/>
          <w:szCs w:val="28"/>
        </w:rPr>
        <w:t>Азейского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w:t>
      </w:r>
      <w:r w:rsidR="005D6412" w:rsidRPr="005D6412">
        <w:rPr>
          <w:rFonts w:ascii="Times New Roman" w:eastAsia="Times New Roman" w:hAnsi="Times New Roman"/>
          <w:kern w:val="2"/>
          <w:sz w:val="28"/>
          <w:szCs w:val="28"/>
          <w:lang w:eastAsia="ru-RU"/>
        </w:rPr>
        <w:t xml:space="preserve"> </w:t>
      </w:r>
      <w:r w:rsidR="005D6412" w:rsidRPr="009760E5">
        <w:rPr>
          <w:rFonts w:ascii="Times New Roman" w:eastAsia="Times New Roman" w:hAnsi="Times New Roman"/>
          <w:kern w:val="2"/>
          <w:sz w:val="28"/>
          <w:szCs w:val="28"/>
          <w:lang w:eastAsia="ru-RU"/>
        </w:rPr>
        <w:t>azey.mo38.ru</w:t>
      </w:r>
      <w:r w:rsidR="005D6412" w:rsidRPr="00E928EF">
        <w:rPr>
          <w:rFonts w:ascii="Times New Roman" w:eastAsia="Times New Roman" w:hAnsi="Times New Roman"/>
          <w:kern w:val="2"/>
          <w:sz w:val="28"/>
          <w:szCs w:val="28"/>
          <w:lang w:eastAsia="ru-RU"/>
        </w:rPr>
        <w:t xml:space="preserve"> </w:t>
      </w:r>
      <w:r w:rsidR="00E928EF" w:rsidRPr="00E928EF">
        <w:rPr>
          <w:rFonts w:ascii="Times New Roman" w:eastAsia="Times New Roman" w:hAnsi="Times New Roman"/>
          <w:kern w:val="2"/>
          <w:sz w:val="28"/>
          <w:szCs w:val="28"/>
          <w:lang w:eastAsia="ru-RU"/>
        </w:rPr>
        <w:t>/</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r w:rsidR="005D6412">
        <w:rPr>
          <w:rFonts w:ascii="Times New Roman" w:eastAsia="Times New Roman" w:hAnsi="Times New Roman" w:cs="Times New Roman"/>
          <w:kern w:val="2"/>
          <w:sz w:val="28"/>
          <w:szCs w:val="28"/>
        </w:rPr>
        <w:t xml:space="preserve">: </w:t>
      </w:r>
      <w:r w:rsidR="005D6412">
        <w:rPr>
          <w:rFonts w:ascii="Times New Roman" w:eastAsia="Times New Roman" w:hAnsi="Times New Roman" w:cs="Times New Roman"/>
          <w:kern w:val="2"/>
          <w:sz w:val="28"/>
          <w:szCs w:val="28"/>
          <w:lang w:val="en-US"/>
        </w:rPr>
        <w:t>azei.adm@yandex.ru</w:t>
      </w:r>
      <w:r w:rsidRPr="00E928EF">
        <w:rPr>
          <w:rFonts w:ascii="Times New Roman" w:eastAsia="Times New Roman" w:hAnsi="Times New Roman" w:cs="Times New Roman"/>
          <w:kern w:val="2"/>
          <w:sz w:val="28"/>
          <w:szCs w:val="28"/>
        </w:rPr>
        <w:t>.</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 xml:space="preserve">перепланировке помещения, приводящих к образованию одного и более </w:t>
      </w:r>
      <w:r w:rsidRPr="00E928EF">
        <w:rPr>
          <w:rFonts w:ascii="Times New Roman" w:eastAsia="Times New Roman" w:hAnsi="Times New Roman" w:cs="Times New Roman"/>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lastRenderedPageBreak/>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8"/>
          <w:lang w:eastAsia="ru-RU"/>
        </w:rPr>
        <w:t>3</w:t>
      </w:r>
      <w:r w:rsidR="00282A7C" w:rsidRPr="007E4D15">
        <w:rPr>
          <w:rFonts w:ascii="Times New Roman" w:eastAsia="Times New Roman" w:hAnsi="Times New Roman" w:cs="Times New Roman"/>
          <w:kern w:val="2"/>
          <w:sz w:val="28"/>
          <w:szCs w:val="28"/>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w:t>
      </w:r>
      <w:r w:rsidR="00282A7C" w:rsidRPr="007E4D15">
        <w:rPr>
          <w:rFonts w:ascii="Times New Roman" w:eastAsia="Times New Roman" w:hAnsi="Times New Roman" w:cs="Times New Roman"/>
          <w:kern w:val="2"/>
          <w:sz w:val="28"/>
          <w:szCs w:val="20"/>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4D15" w:rsidRPr="00CA6202">
        <w:rPr>
          <w:rFonts w:ascii="Times New Roman" w:eastAsia="Calibri" w:hAnsi="Times New Roman" w:cs="Times New Roman"/>
          <w:kern w:val="2"/>
          <w:sz w:val="28"/>
          <w:szCs w:val="28"/>
          <w:lang w:eastAsia="ru-RU"/>
        </w:rPr>
        <w:t>заявителя,</w:t>
      </w:r>
      <w:r w:rsidR="0022349B" w:rsidRPr="00CA6202">
        <w:rPr>
          <w:rFonts w:ascii="Times New Roman" w:eastAsia="Calibri" w:hAnsi="Times New Roman" w:cs="Times New Roman"/>
          <w:kern w:val="2"/>
          <w:sz w:val="28"/>
          <w:szCs w:val="28"/>
          <w:lang w:eastAsia="ru-RU"/>
        </w:rPr>
        <w:t xml:space="preserve">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Pr="00CA6202">
        <w:rPr>
          <w:rFonts w:ascii="Times New Roman" w:eastAsia="Calibri" w:hAnsi="Times New Roman" w:cs="Times New Roman"/>
          <w:kern w:val="2"/>
          <w:sz w:val="28"/>
          <w:szCs w:val="28"/>
          <w:lang w:eastAsia="ru-RU"/>
        </w:rPr>
        <w:lastRenderedPageBreak/>
        <w:t>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 xml:space="preserve">и рассмотрение документов (далее – должностное лицо, осуществляющее </w:t>
      </w:r>
      <w:r w:rsidR="00D75819" w:rsidRPr="00F3503F">
        <w:rPr>
          <w:rFonts w:ascii="Times New Roman" w:eastAsia="Times New Roman" w:hAnsi="Times New Roman"/>
          <w:color w:val="000000"/>
          <w:kern w:val="2"/>
          <w:sz w:val="28"/>
          <w:szCs w:val="28"/>
          <w:lang w:eastAsia="ru-RU"/>
        </w:rPr>
        <w:lastRenderedPageBreak/>
        <w:t>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w:t>
      </w:r>
      <w:r w:rsidR="00792CA8" w:rsidRPr="008409FA">
        <w:rPr>
          <w:rFonts w:ascii="Times New Roman" w:eastAsia="Times New Roman" w:hAnsi="Times New Roman"/>
          <w:kern w:val="2"/>
          <w:sz w:val="28"/>
          <w:szCs w:val="28"/>
          <w:lang w:eastAsia="ru-RU"/>
        </w:rPr>
        <w:lastRenderedPageBreak/>
        <w:t xml:space="preserve">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lastRenderedPageBreak/>
        <w:t>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w:t>
      </w:r>
      <w:r w:rsidR="0022349B" w:rsidRPr="00F3503F">
        <w:rPr>
          <w:rFonts w:ascii="Times New Roman" w:eastAsia="Times New Roman" w:hAnsi="Times New Roman" w:cs="Times New Roman"/>
          <w:kern w:val="2"/>
          <w:sz w:val="28"/>
          <w:szCs w:val="28"/>
        </w:rPr>
        <w:lastRenderedPageBreak/>
        <w:t xml:space="preserve">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w:t>
      </w:r>
      <w:r w:rsidRPr="00CA6202">
        <w:rPr>
          <w:rFonts w:ascii="Times New Roman" w:eastAsia="Times New Roman" w:hAnsi="Times New Roman" w:cs="Times New Roman"/>
          <w:kern w:val="2"/>
          <w:sz w:val="28"/>
          <w:szCs w:val="28"/>
          <w:lang w:eastAsia="ru-RU"/>
        </w:rPr>
        <w:lastRenderedPageBreak/>
        <w:t xml:space="preserve">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2349B" w:rsidRPr="00855B65">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w:t>
      </w:r>
      <w:r w:rsidR="0022349B" w:rsidRPr="00855B65">
        <w:rPr>
          <w:rFonts w:ascii="Times New Roman" w:eastAsia="Times New Roman" w:hAnsi="Times New Roman" w:cs="Times New Roman"/>
          <w:kern w:val="2"/>
          <w:sz w:val="28"/>
          <w:szCs w:val="28"/>
          <w:lang w:eastAsia="ru-RU"/>
        </w:rPr>
        <w:lastRenderedPageBreak/>
        <w:t>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3C" w:rsidRDefault="00D52B3C" w:rsidP="0022349B">
      <w:pPr>
        <w:spacing w:after="0" w:line="240" w:lineRule="auto"/>
      </w:pPr>
      <w:r>
        <w:separator/>
      </w:r>
    </w:p>
  </w:endnote>
  <w:endnote w:type="continuationSeparator" w:id="0">
    <w:p w:rsidR="00D52B3C" w:rsidRDefault="00D52B3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3C" w:rsidRDefault="00D52B3C" w:rsidP="0022349B">
      <w:pPr>
        <w:spacing w:after="0" w:line="240" w:lineRule="auto"/>
      </w:pPr>
      <w:r>
        <w:separator/>
      </w:r>
    </w:p>
  </w:footnote>
  <w:footnote w:type="continuationSeparator" w:id="0">
    <w:p w:rsidR="00D52B3C" w:rsidRDefault="00D52B3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403DA0">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03DA0"/>
    <w:rsid w:val="004102F7"/>
    <w:rsid w:val="004E5B03"/>
    <w:rsid w:val="004F3102"/>
    <w:rsid w:val="005872E5"/>
    <w:rsid w:val="0059113E"/>
    <w:rsid w:val="005A274B"/>
    <w:rsid w:val="005A34A1"/>
    <w:rsid w:val="005D570E"/>
    <w:rsid w:val="005D6412"/>
    <w:rsid w:val="00610E62"/>
    <w:rsid w:val="00696958"/>
    <w:rsid w:val="006D5B5F"/>
    <w:rsid w:val="00717F20"/>
    <w:rsid w:val="00744D95"/>
    <w:rsid w:val="00792CA8"/>
    <w:rsid w:val="00797D4F"/>
    <w:rsid w:val="007E4D15"/>
    <w:rsid w:val="007E7BAD"/>
    <w:rsid w:val="008409FA"/>
    <w:rsid w:val="00855B65"/>
    <w:rsid w:val="00912325"/>
    <w:rsid w:val="0099302C"/>
    <w:rsid w:val="00995CCD"/>
    <w:rsid w:val="009B5AF3"/>
    <w:rsid w:val="009E508D"/>
    <w:rsid w:val="00A15E6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52B3C"/>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279C"/>
  <w15:docId w15:val="{B6D11067-EC7E-4DBA-AF6C-1A632BE5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 w:type="paragraph" w:styleId="af2">
    <w:name w:val="List Paragraph"/>
    <w:basedOn w:val="a"/>
    <w:uiPriority w:val="34"/>
    <w:qFormat/>
    <w:rsid w:val="005D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User</cp:lastModifiedBy>
  <cp:revision>11</cp:revision>
  <cp:lastPrinted>2022-06-29T06:55:00Z</cp:lastPrinted>
  <dcterms:created xsi:type="dcterms:W3CDTF">2024-11-01T01:20:00Z</dcterms:created>
  <dcterms:modified xsi:type="dcterms:W3CDTF">2025-02-21T02:40:00Z</dcterms:modified>
</cp:coreProperties>
</file>