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B4F" w:rsidRPr="00C2516D" w:rsidRDefault="00C2516D" w:rsidP="004A2682">
      <w:pPr>
        <w:jc w:val="center"/>
        <w:rPr>
          <w:rFonts w:ascii="Times New Roman" w:hAnsi="Times New Roman" w:cs="Times New Roman"/>
          <w:b/>
          <w:sz w:val="28"/>
          <w:szCs w:val="28"/>
        </w:rPr>
      </w:pPr>
      <w:r w:rsidRPr="00C2516D">
        <w:rPr>
          <w:rFonts w:ascii="Times New Roman" w:hAnsi="Times New Roman" w:cs="Times New Roman"/>
          <w:b/>
          <w:sz w:val="28"/>
          <w:szCs w:val="28"/>
        </w:rPr>
        <w:t>РОССИЙСКАЯ ФЕДЕРАЦИЯ</w:t>
      </w:r>
    </w:p>
    <w:p w:rsidR="00C2516D" w:rsidRDefault="00C2516D" w:rsidP="00C2516D">
      <w:pPr>
        <w:jc w:val="center"/>
        <w:rPr>
          <w:rFonts w:ascii="Times New Roman" w:hAnsi="Times New Roman" w:cs="Times New Roman"/>
          <w:b/>
          <w:sz w:val="28"/>
          <w:szCs w:val="28"/>
        </w:rPr>
      </w:pPr>
      <w:r w:rsidRPr="00C2516D">
        <w:rPr>
          <w:rFonts w:ascii="Times New Roman" w:hAnsi="Times New Roman" w:cs="Times New Roman"/>
          <w:b/>
          <w:sz w:val="28"/>
          <w:szCs w:val="28"/>
        </w:rPr>
        <w:t>ИРКУТСКАЯ ОБЛАСТЬ</w:t>
      </w:r>
    </w:p>
    <w:p w:rsidR="005840C7" w:rsidRPr="00C2516D" w:rsidRDefault="005840C7" w:rsidP="00C2516D">
      <w:pPr>
        <w:jc w:val="center"/>
        <w:rPr>
          <w:rFonts w:ascii="Times New Roman" w:hAnsi="Times New Roman" w:cs="Times New Roman"/>
          <w:b/>
          <w:sz w:val="28"/>
          <w:szCs w:val="28"/>
        </w:rPr>
      </w:pPr>
      <w:r>
        <w:rPr>
          <w:rFonts w:ascii="Times New Roman" w:hAnsi="Times New Roman" w:cs="Times New Roman"/>
          <w:b/>
          <w:sz w:val="28"/>
          <w:szCs w:val="28"/>
        </w:rPr>
        <w:t>Тулунский район</w:t>
      </w:r>
    </w:p>
    <w:p w:rsidR="00C2516D" w:rsidRPr="00C2516D" w:rsidRDefault="00C2516D" w:rsidP="004A2682">
      <w:pPr>
        <w:jc w:val="center"/>
        <w:rPr>
          <w:rFonts w:ascii="Times New Roman" w:hAnsi="Times New Roman" w:cs="Times New Roman"/>
          <w:b/>
          <w:sz w:val="28"/>
          <w:szCs w:val="28"/>
        </w:rPr>
      </w:pPr>
    </w:p>
    <w:p w:rsidR="004A2682" w:rsidRPr="00C2516D" w:rsidRDefault="004A2682" w:rsidP="004A2682">
      <w:pPr>
        <w:jc w:val="center"/>
        <w:rPr>
          <w:rFonts w:ascii="Times New Roman" w:hAnsi="Times New Roman" w:cs="Times New Roman"/>
          <w:b/>
          <w:sz w:val="28"/>
          <w:szCs w:val="28"/>
        </w:rPr>
      </w:pPr>
      <w:r w:rsidRPr="00C2516D">
        <w:rPr>
          <w:rFonts w:ascii="Times New Roman" w:hAnsi="Times New Roman" w:cs="Times New Roman"/>
          <w:b/>
          <w:sz w:val="28"/>
          <w:szCs w:val="28"/>
        </w:rPr>
        <w:t>АДМИНИСТРАЦИЯ</w:t>
      </w:r>
    </w:p>
    <w:p w:rsidR="004A2682" w:rsidRPr="00C2516D" w:rsidRDefault="00C2516D" w:rsidP="004A2682">
      <w:pPr>
        <w:jc w:val="center"/>
        <w:rPr>
          <w:rFonts w:ascii="Times New Roman" w:hAnsi="Times New Roman" w:cs="Times New Roman"/>
          <w:b/>
          <w:sz w:val="28"/>
          <w:szCs w:val="28"/>
        </w:rPr>
      </w:pPr>
      <w:r w:rsidRPr="00C2516D">
        <w:rPr>
          <w:rFonts w:ascii="Times New Roman" w:hAnsi="Times New Roman" w:cs="Times New Roman"/>
          <w:b/>
          <w:sz w:val="28"/>
          <w:szCs w:val="28"/>
        </w:rPr>
        <w:t>Азей</w:t>
      </w:r>
      <w:r w:rsidR="004A2682" w:rsidRPr="00C2516D">
        <w:rPr>
          <w:rFonts w:ascii="Times New Roman" w:hAnsi="Times New Roman" w:cs="Times New Roman"/>
          <w:b/>
          <w:sz w:val="28"/>
          <w:szCs w:val="28"/>
        </w:rPr>
        <w:t>ского сельского поселения</w:t>
      </w:r>
    </w:p>
    <w:p w:rsidR="00C40B4F" w:rsidRPr="00C2516D" w:rsidRDefault="00C40B4F" w:rsidP="004A2682">
      <w:pPr>
        <w:jc w:val="center"/>
        <w:rPr>
          <w:rFonts w:ascii="Times New Roman" w:hAnsi="Times New Roman" w:cs="Times New Roman"/>
          <w:b/>
          <w:sz w:val="28"/>
          <w:szCs w:val="28"/>
        </w:rPr>
      </w:pPr>
    </w:p>
    <w:p w:rsidR="004B4F4E" w:rsidRPr="00C2516D" w:rsidRDefault="00C40B4F" w:rsidP="004A2682">
      <w:pPr>
        <w:jc w:val="center"/>
        <w:rPr>
          <w:rFonts w:ascii="Times New Roman" w:hAnsi="Times New Roman" w:cs="Times New Roman"/>
          <w:b/>
          <w:sz w:val="28"/>
          <w:szCs w:val="28"/>
        </w:rPr>
      </w:pPr>
      <w:r w:rsidRPr="00C2516D">
        <w:rPr>
          <w:rFonts w:ascii="Times New Roman" w:hAnsi="Times New Roman" w:cs="Times New Roman"/>
          <w:b/>
          <w:sz w:val="28"/>
          <w:szCs w:val="28"/>
        </w:rPr>
        <w:t>РАСПОРЯЖЕНИЕ</w:t>
      </w:r>
    </w:p>
    <w:p w:rsidR="00C40B4F" w:rsidRPr="00C2516D" w:rsidRDefault="00C40B4F" w:rsidP="004A2682">
      <w:pPr>
        <w:rPr>
          <w:rFonts w:ascii="Times New Roman" w:hAnsi="Times New Roman" w:cs="Times New Roman"/>
          <w:sz w:val="28"/>
          <w:szCs w:val="28"/>
        </w:rPr>
      </w:pPr>
    </w:p>
    <w:p w:rsidR="00C40B4F" w:rsidRPr="00C2516D" w:rsidRDefault="0038095F" w:rsidP="004A2682">
      <w:pPr>
        <w:rPr>
          <w:rFonts w:ascii="Times New Roman" w:hAnsi="Times New Roman" w:cs="Times New Roman"/>
          <w:b/>
          <w:sz w:val="28"/>
          <w:szCs w:val="28"/>
        </w:rPr>
      </w:pPr>
      <w:r>
        <w:rPr>
          <w:rFonts w:ascii="Times New Roman" w:hAnsi="Times New Roman" w:cs="Times New Roman"/>
          <w:b/>
          <w:sz w:val="28"/>
          <w:szCs w:val="28"/>
        </w:rPr>
        <w:t>1</w:t>
      </w:r>
      <w:r w:rsidR="004917EA">
        <w:rPr>
          <w:rFonts w:ascii="Times New Roman" w:hAnsi="Times New Roman" w:cs="Times New Roman"/>
          <w:b/>
          <w:sz w:val="28"/>
          <w:szCs w:val="28"/>
        </w:rPr>
        <w:t>4</w:t>
      </w:r>
      <w:r w:rsidR="005840C7">
        <w:rPr>
          <w:rFonts w:ascii="Times New Roman" w:hAnsi="Times New Roman" w:cs="Times New Roman"/>
          <w:b/>
          <w:sz w:val="28"/>
          <w:szCs w:val="28"/>
        </w:rPr>
        <w:t>.</w:t>
      </w:r>
      <w:r w:rsidR="004917EA">
        <w:rPr>
          <w:rFonts w:ascii="Times New Roman" w:hAnsi="Times New Roman" w:cs="Times New Roman"/>
          <w:b/>
          <w:sz w:val="28"/>
          <w:szCs w:val="28"/>
        </w:rPr>
        <w:t>11</w:t>
      </w:r>
      <w:r w:rsidR="005840C7">
        <w:rPr>
          <w:rFonts w:ascii="Times New Roman" w:hAnsi="Times New Roman" w:cs="Times New Roman"/>
          <w:b/>
          <w:sz w:val="28"/>
          <w:szCs w:val="28"/>
        </w:rPr>
        <w:t>.202</w:t>
      </w:r>
      <w:r w:rsidR="0025665F">
        <w:rPr>
          <w:rFonts w:ascii="Times New Roman" w:hAnsi="Times New Roman" w:cs="Times New Roman"/>
          <w:b/>
          <w:sz w:val="28"/>
          <w:szCs w:val="28"/>
        </w:rPr>
        <w:t>5</w:t>
      </w:r>
      <w:r w:rsidR="00C40B4F" w:rsidRPr="00C2516D">
        <w:rPr>
          <w:rFonts w:ascii="Times New Roman" w:hAnsi="Times New Roman" w:cs="Times New Roman"/>
          <w:b/>
          <w:sz w:val="28"/>
          <w:szCs w:val="28"/>
        </w:rPr>
        <w:t xml:space="preserve"> г</w:t>
      </w:r>
      <w:r w:rsidR="00C2516D">
        <w:rPr>
          <w:rFonts w:ascii="Times New Roman" w:hAnsi="Times New Roman" w:cs="Times New Roman"/>
          <w:b/>
          <w:sz w:val="28"/>
          <w:szCs w:val="28"/>
        </w:rPr>
        <w:t>.</w:t>
      </w:r>
      <w:r w:rsidR="004A2682" w:rsidRPr="00C2516D">
        <w:rPr>
          <w:rFonts w:ascii="Times New Roman" w:hAnsi="Times New Roman" w:cs="Times New Roman"/>
          <w:b/>
          <w:sz w:val="28"/>
          <w:szCs w:val="28"/>
        </w:rPr>
        <w:t xml:space="preserve">   </w:t>
      </w:r>
      <w:r w:rsidR="00C40B4F" w:rsidRPr="00C2516D">
        <w:rPr>
          <w:rFonts w:ascii="Times New Roman" w:hAnsi="Times New Roman" w:cs="Times New Roman"/>
          <w:b/>
          <w:sz w:val="28"/>
          <w:szCs w:val="28"/>
        </w:rPr>
        <w:tab/>
      </w:r>
      <w:r w:rsidR="004A2682" w:rsidRPr="00C2516D">
        <w:rPr>
          <w:rFonts w:ascii="Times New Roman" w:hAnsi="Times New Roman" w:cs="Times New Roman"/>
          <w:b/>
          <w:sz w:val="28"/>
          <w:szCs w:val="28"/>
        </w:rPr>
        <w:t xml:space="preserve">     </w:t>
      </w:r>
      <w:r w:rsidR="00C40B4F" w:rsidRPr="00C2516D">
        <w:rPr>
          <w:rFonts w:ascii="Times New Roman" w:hAnsi="Times New Roman" w:cs="Times New Roman"/>
          <w:b/>
          <w:sz w:val="28"/>
          <w:szCs w:val="28"/>
        </w:rPr>
        <w:tab/>
      </w:r>
      <w:r w:rsidR="00C40B4F" w:rsidRPr="00C2516D">
        <w:rPr>
          <w:rFonts w:ascii="Times New Roman" w:hAnsi="Times New Roman" w:cs="Times New Roman"/>
          <w:b/>
          <w:sz w:val="28"/>
          <w:szCs w:val="28"/>
        </w:rPr>
        <w:tab/>
      </w:r>
      <w:r w:rsidR="00C40B4F" w:rsidRPr="00C2516D">
        <w:rPr>
          <w:rFonts w:ascii="Times New Roman" w:hAnsi="Times New Roman" w:cs="Times New Roman"/>
          <w:b/>
          <w:sz w:val="28"/>
          <w:szCs w:val="28"/>
        </w:rPr>
        <w:tab/>
      </w:r>
      <w:r w:rsidR="00C40B4F" w:rsidRPr="00C2516D">
        <w:rPr>
          <w:rFonts w:ascii="Times New Roman" w:hAnsi="Times New Roman" w:cs="Times New Roman"/>
          <w:b/>
          <w:sz w:val="28"/>
          <w:szCs w:val="28"/>
        </w:rPr>
        <w:tab/>
      </w:r>
      <w:r w:rsidR="00C40B4F" w:rsidRPr="00C2516D">
        <w:rPr>
          <w:rFonts w:ascii="Times New Roman" w:hAnsi="Times New Roman" w:cs="Times New Roman"/>
          <w:b/>
          <w:sz w:val="28"/>
          <w:szCs w:val="28"/>
        </w:rPr>
        <w:tab/>
      </w:r>
      <w:r w:rsidR="004A2682" w:rsidRPr="00C2516D">
        <w:rPr>
          <w:rFonts w:ascii="Times New Roman" w:hAnsi="Times New Roman" w:cs="Times New Roman"/>
          <w:b/>
          <w:sz w:val="28"/>
          <w:szCs w:val="28"/>
        </w:rPr>
        <w:t xml:space="preserve">             </w:t>
      </w:r>
      <w:r w:rsidR="005E4F8C" w:rsidRPr="00C2516D">
        <w:rPr>
          <w:rFonts w:ascii="Times New Roman" w:hAnsi="Times New Roman" w:cs="Times New Roman"/>
          <w:b/>
          <w:sz w:val="28"/>
          <w:szCs w:val="28"/>
        </w:rPr>
        <w:t xml:space="preserve">   </w:t>
      </w:r>
      <w:r w:rsidR="00B04335" w:rsidRPr="00C2516D">
        <w:rPr>
          <w:rFonts w:ascii="Times New Roman" w:hAnsi="Times New Roman" w:cs="Times New Roman"/>
          <w:b/>
          <w:sz w:val="28"/>
          <w:szCs w:val="28"/>
        </w:rPr>
        <w:t xml:space="preserve"> </w:t>
      </w:r>
      <w:r w:rsidR="00C2516D" w:rsidRPr="00C2516D">
        <w:rPr>
          <w:rFonts w:ascii="Times New Roman" w:hAnsi="Times New Roman" w:cs="Times New Roman"/>
          <w:b/>
          <w:sz w:val="28"/>
          <w:szCs w:val="28"/>
        </w:rPr>
        <w:t xml:space="preserve">         </w:t>
      </w:r>
      <w:r w:rsidR="005840C7">
        <w:rPr>
          <w:rFonts w:ascii="Times New Roman" w:hAnsi="Times New Roman" w:cs="Times New Roman"/>
          <w:b/>
          <w:sz w:val="28"/>
          <w:szCs w:val="28"/>
        </w:rPr>
        <w:t xml:space="preserve">    </w:t>
      </w:r>
      <w:r w:rsidR="00C2516D" w:rsidRPr="00C2516D">
        <w:rPr>
          <w:rFonts w:ascii="Times New Roman" w:hAnsi="Times New Roman" w:cs="Times New Roman"/>
          <w:b/>
          <w:sz w:val="28"/>
          <w:szCs w:val="28"/>
        </w:rPr>
        <w:t xml:space="preserve">     </w:t>
      </w:r>
      <w:r w:rsidR="00B04335" w:rsidRPr="00C2516D">
        <w:rPr>
          <w:rFonts w:ascii="Times New Roman" w:hAnsi="Times New Roman" w:cs="Times New Roman"/>
          <w:b/>
          <w:sz w:val="28"/>
          <w:szCs w:val="28"/>
        </w:rPr>
        <w:t xml:space="preserve"> </w:t>
      </w:r>
      <w:r w:rsidR="00C40B4F" w:rsidRPr="00C2516D">
        <w:rPr>
          <w:rFonts w:ascii="Times New Roman" w:hAnsi="Times New Roman" w:cs="Times New Roman"/>
          <w:b/>
          <w:sz w:val="28"/>
          <w:szCs w:val="28"/>
        </w:rPr>
        <w:t>№</w:t>
      </w:r>
      <w:r w:rsidR="004A2682" w:rsidRPr="00C2516D">
        <w:rPr>
          <w:rFonts w:ascii="Times New Roman" w:hAnsi="Times New Roman" w:cs="Times New Roman"/>
          <w:b/>
          <w:sz w:val="28"/>
          <w:szCs w:val="28"/>
        </w:rPr>
        <w:t xml:space="preserve"> </w:t>
      </w:r>
      <w:r w:rsidR="00A35539">
        <w:rPr>
          <w:rFonts w:ascii="Times New Roman" w:hAnsi="Times New Roman" w:cs="Times New Roman"/>
          <w:b/>
          <w:sz w:val="28"/>
          <w:szCs w:val="28"/>
        </w:rPr>
        <w:t>55</w:t>
      </w:r>
      <w:r w:rsidR="00C2516D" w:rsidRPr="00C2516D">
        <w:rPr>
          <w:rFonts w:ascii="Times New Roman" w:hAnsi="Times New Roman" w:cs="Times New Roman"/>
          <w:b/>
          <w:sz w:val="28"/>
          <w:szCs w:val="28"/>
        </w:rPr>
        <w:t>-рг</w:t>
      </w:r>
    </w:p>
    <w:p w:rsidR="00C40B4F" w:rsidRPr="00C2516D" w:rsidRDefault="00C40B4F" w:rsidP="00C40B4F">
      <w:pPr>
        <w:jc w:val="center"/>
        <w:rPr>
          <w:rFonts w:ascii="Times New Roman" w:hAnsi="Times New Roman" w:cs="Times New Roman"/>
          <w:b/>
          <w:sz w:val="28"/>
          <w:szCs w:val="28"/>
        </w:rPr>
      </w:pPr>
    </w:p>
    <w:p w:rsidR="00C40B4F" w:rsidRPr="00C2516D" w:rsidRDefault="00C2516D" w:rsidP="00C40B4F">
      <w:pPr>
        <w:jc w:val="center"/>
        <w:rPr>
          <w:rFonts w:ascii="Times New Roman" w:hAnsi="Times New Roman" w:cs="Times New Roman"/>
          <w:b/>
          <w:sz w:val="28"/>
          <w:szCs w:val="28"/>
        </w:rPr>
      </w:pPr>
      <w:r>
        <w:rPr>
          <w:rFonts w:ascii="Times New Roman" w:hAnsi="Times New Roman" w:cs="Times New Roman"/>
          <w:b/>
          <w:sz w:val="28"/>
          <w:szCs w:val="28"/>
        </w:rPr>
        <w:t>с. Азей</w:t>
      </w:r>
    </w:p>
    <w:p w:rsidR="00C40B4F" w:rsidRPr="00C2516D" w:rsidRDefault="00C40B4F" w:rsidP="00C40B4F">
      <w:pPr>
        <w:jc w:val="both"/>
        <w:rPr>
          <w:rFonts w:ascii="Times New Roman" w:hAnsi="Times New Roman" w:cs="Times New Roman"/>
          <w:b/>
          <w:sz w:val="28"/>
          <w:szCs w:val="28"/>
        </w:rPr>
      </w:pPr>
    </w:p>
    <w:p w:rsidR="00C40B4F" w:rsidRPr="00BB72C5" w:rsidRDefault="00C40B4F" w:rsidP="00C40B4F">
      <w:pPr>
        <w:rPr>
          <w:rFonts w:ascii="Times New Roman" w:hAnsi="Times New Roman" w:cs="Times New Roman"/>
          <w:b/>
          <w:i/>
          <w:sz w:val="28"/>
          <w:szCs w:val="28"/>
        </w:rPr>
      </w:pPr>
      <w:r w:rsidRPr="00BB72C5">
        <w:rPr>
          <w:rFonts w:ascii="Times New Roman" w:hAnsi="Times New Roman" w:cs="Times New Roman"/>
          <w:b/>
          <w:i/>
          <w:sz w:val="28"/>
          <w:szCs w:val="28"/>
        </w:rPr>
        <w:t xml:space="preserve">Об одобрении </w:t>
      </w:r>
      <w:r w:rsidR="00BB1335" w:rsidRPr="00BB72C5">
        <w:rPr>
          <w:rFonts w:ascii="Times New Roman" w:hAnsi="Times New Roman" w:cs="Times New Roman"/>
          <w:b/>
          <w:i/>
          <w:sz w:val="28"/>
          <w:szCs w:val="28"/>
        </w:rPr>
        <w:t>прогноза</w:t>
      </w:r>
      <w:r w:rsidRPr="00BB72C5">
        <w:rPr>
          <w:rFonts w:ascii="Times New Roman" w:hAnsi="Times New Roman" w:cs="Times New Roman"/>
          <w:b/>
          <w:i/>
          <w:sz w:val="28"/>
          <w:szCs w:val="28"/>
        </w:rPr>
        <w:t xml:space="preserve"> социально-экономического</w:t>
      </w:r>
    </w:p>
    <w:p w:rsidR="00F71F5B" w:rsidRDefault="00C2516D" w:rsidP="00F71F5B">
      <w:pPr>
        <w:rPr>
          <w:rFonts w:ascii="Times New Roman" w:hAnsi="Times New Roman" w:cs="Times New Roman"/>
          <w:b/>
          <w:i/>
          <w:sz w:val="28"/>
          <w:szCs w:val="28"/>
        </w:rPr>
      </w:pPr>
      <w:r w:rsidRPr="00BB72C5">
        <w:rPr>
          <w:rFonts w:ascii="Times New Roman" w:hAnsi="Times New Roman" w:cs="Times New Roman"/>
          <w:b/>
          <w:i/>
          <w:sz w:val="28"/>
          <w:szCs w:val="28"/>
        </w:rPr>
        <w:t>р</w:t>
      </w:r>
      <w:r w:rsidR="00C40B4F" w:rsidRPr="00BB72C5">
        <w:rPr>
          <w:rFonts w:ascii="Times New Roman" w:hAnsi="Times New Roman" w:cs="Times New Roman"/>
          <w:b/>
          <w:i/>
          <w:sz w:val="28"/>
          <w:szCs w:val="28"/>
        </w:rPr>
        <w:t xml:space="preserve">азвития </w:t>
      </w:r>
      <w:r w:rsidR="00F71F5B">
        <w:rPr>
          <w:rFonts w:ascii="Times New Roman" w:hAnsi="Times New Roman" w:cs="Times New Roman"/>
          <w:b/>
          <w:i/>
          <w:sz w:val="28"/>
          <w:szCs w:val="28"/>
        </w:rPr>
        <w:t xml:space="preserve">Азейского </w:t>
      </w:r>
      <w:r w:rsidR="00F71F5B" w:rsidRPr="00F71F5B">
        <w:rPr>
          <w:rFonts w:ascii="Times New Roman" w:hAnsi="Times New Roman" w:cs="Times New Roman"/>
          <w:b/>
          <w:i/>
          <w:sz w:val="28"/>
          <w:szCs w:val="28"/>
        </w:rPr>
        <w:t xml:space="preserve">муниципального образования </w:t>
      </w:r>
    </w:p>
    <w:p w:rsidR="00C40B4F" w:rsidRPr="00BB72C5" w:rsidRDefault="00F71F5B" w:rsidP="00F71F5B">
      <w:pPr>
        <w:rPr>
          <w:rFonts w:ascii="Times New Roman" w:hAnsi="Times New Roman" w:cs="Times New Roman"/>
          <w:i/>
          <w:sz w:val="28"/>
          <w:szCs w:val="28"/>
        </w:rPr>
      </w:pPr>
      <w:r w:rsidRPr="00F71F5B">
        <w:rPr>
          <w:rFonts w:ascii="Times New Roman" w:hAnsi="Times New Roman" w:cs="Times New Roman"/>
          <w:b/>
          <w:i/>
          <w:sz w:val="28"/>
          <w:szCs w:val="28"/>
        </w:rPr>
        <w:t>на 2026 год и плановый период 2027 и 2028 годы</w:t>
      </w:r>
    </w:p>
    <w:p w:rsidR="00C40B4F" w:rsidRPr="00C40B4F" w:rsidRDefault="00C40B4F" w:rsidP="00C40B4F">
      <w:pPr>
        <w:jc w:val="both"/>
        <w:rPr>
          <w:rFonts w:ascii="Times New Roman" w:hAnsi="Times New Roman" w:cs="Times New Roman"/>
          <w:sz w:val="28"/>
          <w:szCs w:val="28"/>
        </w:rPr>
      </w:pPr>
    </w:p>
    <w:p w:rsidR="00C40B4F" w:rsidRDefault="00C40B4F" w:rsidP="00C40B4F">
      <w:pPr>
        <w:jc w:val="both"/>
        <w:rPr>
          <w:rFonts w:ascii="Times New Roman" w:hAnsi="Times New Roman" w:cs="Times New Roman"/>
          <w:sz w:val="28"/>
          <w:szCs w:val="28"/>
        </w:rPr>
      </w:pPr>
      <w:r w:rsidRPr="00C40B4F">
        <w:rPr>
          <w:rFonts w:ascii="Times New Roman" w:hAnsi="Times New Roman" w:cs="Times New Roman"/>
          <w:sz w:val="28"/>
          <w:szCs w:val="28"/>
        </w:rPr>
        <w:tab/>
        <w:t>В соответствии с п.</w:t>
      </w:r>
      <w:r w:rsidR="00BA3432">
        <w:rPr>
          <w:rFonts w:ascii="Times New Roman" w:hAnsi="Times New Roman" w:cs="Times New Roman"/>
          <w:sz w:val="28"/>
          <w:szCs w:val="28"/>
        </w:rPr>
        <w:t xml:space="preserve"> </w:t>
      </w:r>
      <w:r w:rsidRPr="00C40B4F">
        <w:rPr>
          <w:rFonts w:ascii="Times New Roman" w:hAnsi="Times New Roman" w:cs="Times New Roman"/>
          <w:sz w:val="28"/>
          <w:szCs w:val="28"/>
        </w:rPr>
        <w:t xml:space="preserve">3 ст.173 Бюджетного </w:t>
      </w:r>
      <w:r w:rsidR="00C2516D" w:rsidRPr="00C40B4F">
        <w:rPr>
          <w:rFonts w:ascii="Times New Roman" w:hAnsi="Times New Roman" w:cs="Times New Roman"/>
          <w:sz w:val="28"/>
          <w:szCs w:val="28"/>
        </w:rPr>
        <w:t>кодекса Российской</w:t>
      </w:r>
      <w:r w:rsidRPr="00C40B4F">
        <w:rPr>
          <w:rFonts w:ascii="Times New Roman" w:hAnsi="Times New Roman" w:cs="Times New Roman"/>
          <w:sz w:val="28"/>
          <w:szCs w:val="28"/>
        </w:rPr>
        <w:t xml:space="preserve"> Федерации, руководствуясь Уставом </w:t>
      </w:r>
      <w:r w:rsidR="00C2516D">
        <w:rPr>
          <w:rFonts w:ascii="Times New Roman" w:hAnsi="Times New Roman" w:cs="Times New Roman"/>
          <w:sz w:val="28"/>
          <w:szCs w:val="28"/>
        </w:rPr>
        <w:t>Азей</w:t>
      </w:r>
      <w:r w:rsidRPr="00C40B4F">
        <w:rPr>
          <w:rFonts w:ascii="Times New Roman" w:hAnsi="Times New Roman" w:cs="Times New Roman"/>
          <w:sz w:val="28"/>
          <w:szCs w:val="28"/>
        </w:rPr>
        <w:t>ского муниципального образования</w:t>
      </w:r>
    </w:p>
    <w:p w:rsidR="00C40B4F" w:rsidRPr="00C40B4F" w:rsidRDefault="00C40B4F" w:rsidP="00C40B4F">
      <w:pPr>
        <w:jc w:val="both"/>
        <w:rPr>
          <w:rFonts w:ascii="Times New Roman" w:hAnsi="Times New Roman" w:cs="Times New Roman"/>
          <w:sz w:val="28"/>
          <w:szCs w:val="28"/>
        </w:rPr>
      </w:pPr>
    </w:p>
    <w:p w:rsidR="00C40B4F" w:rsidRDefault="00C40B4F" w:rsidP="00F71F5B">
      <w:pPr>
        <w:pStyle w:val="a6"/>
        <w:numPr>
          <w:ilvl w:val="0"/>
          <w:numId w:val="1"/>
        </w:numPr>
        <w:ind w:left="0" w:firstLine="709"/>
        <w:jc w:val="both"/>
        <w:rPr>
          <w:rFonts w:ascii="Times New Roman" w:hAnsi="Times New Roman" w:cs="Times New Roman"/>
          <w:sz w:val="28"/>
          <w:szCs w:val="28"/>
        </w:rPr>
      </w:pPr>
      <w:r w:rsidRPr="00185917">
        <w:rPr>
          <w:rFonts w:ascii="Times New Roman" w:hAnsi="Times New Roman" w:cs="Times New Roman"/>
          <w:sz w:val="28"/>
          <w:szCs w:val="28"/>
        </w:rPr>
        <w:t xml:space="preserve">Одобрить прогноз социально-экономического развития </w:t>
      </w:r>
      <w:r w:rsidR="00F71F5B">
        <w:rPr>
          <w:rFonts w:ascii="Times New Roman" w:hAnsi="Times New Roman" w:cs="Times New Roman"/>
          <w:sz w:val="28"/>
          <w:szCs w:val="28"/>
        </w:rPr>
        <w:t xml:space="preserve">Азейского </w:t>
      </w:r>
      <w:bookmarkStart w:id="0" w:name="_GoBack"/>
      <w:bookmarkEnd w:id="0"/>
      <w:r w:rsidR="00F71F5B" w:rsidRPr="00F71F5B">
        <w:rPr>
          <w:rFonts w:ascii="Times New Roman" w:hAnsi="Times New Roman" w:cs="Times New Roman"/>
          <w:sz w:val="28"/>
          <w:szCs w:val="28"/>
        </w:rPr>
        <w:t>муниципального образования на 2026 год и плановый период 2027 и 2028 годы</w:t>
      </w:r>
      <w:r w:rsidRPr="00185917">
        <w:rPr>
          <w:rFonts w:ascii="Times New Roman" w:hAnsi="Times New Roman" w:cs="Times New Roman"/>
          <w:sz w:val="28"/>
          <w:szCs w:val="28"/>
        </w:rPr>
        <w:t>.</w:t>
      </w:r>
    </w:p>
    <w:p w:rsidR="004917EA" w:rsidRDefault="004917EA" w:rsidP="004917EA">
      <w:pPr>
        <w:pStyle w:val="a6"/>
        <w:ind w:left="705"/>
        <w:jc w:val="both"/>
        <w:rPr>
          <w:rFonts w:ascii="Times New Roman" w:hAnsi="Times New Roman" w:cs="Times New Roman"/>
          <w:sz w:val="28"/>
          <w:szCs w:val="28"/>
        </w:rPr>
      </w:pPr>
    </w:p>
    <w:p w:rsidR="00185917" w:rsidRDefault="00185917" w:rsidP="00185917">
      <w:pPr>
        <w:jc w:val="both"/>
        <w:rPr>
          <w:rFonts w:ascii="Times New Roman" w:hAnsi="Times New Roman" w:cs="Times New Roman"/>
          <w:sz w:val="28"/>
          <w:szCs w:val="28"/>
        </w:rPr>
      </w:pPr>
    </w:p>
    <w:p w:rsidR="00185917" w:rsidRPr="00185917" w:rsidRDefault="00185917" w:rsidP="00185917">
      <w:pPr>
        <w:pStyle w:val="a6"/>
        <w:numPr>
          <w:ilvl w:val="0"/>
          <w:numId w:val="1"/>
        </w:numPr>
        <w:ind w:left="0" w:firstLine="705"/>
        <w:jc w:val="both"/>
        <w:rPr>
          <w:rFonts w:ascii="Times New Roman" w:hAnsi="Times New Roman" w:cs="Times New Roman"/>
          <w:sz w:val="28"/>
          <w:szCs w:val="28"/>
        </w:rPr>
      </w:pPr>
      <w:r w:rsidRPr="004E1E79">
        <w:rPr>
          <w:rFonts w:ascii="Times New Roman" w:hAnsi="Times New Roman" w:cs="Times New Roman"/>
          <w:sz w:val="28"/>
          <w:szCs w:val="28"/>
        </w:rPr>
        <w:t>Опубликовать</w:t>
      </w:r>
      <w:r>
        <w:t xml:space="preserve"> </w:t>
      </w:r>
      <w:r>
        <w:rPr>
          <w:rFonts w:ascii="Times New Roman" w:hAnsi="Times New Roman" w:cs="Times New Roman"/>
          <w:sz w:val="28"/>
          <w:szCs w:val="28"/>
        </w:rPr>
        <w:t>н</w:t>
      </w:r>
      <w:r w:rsidRPr="00555948">
        <w:rPr>
          <w:rFonts w:ascii="Times New Roman" w:hAnsi="Times New Roman"/>
          <w:sz w:val="28"/>
          <w:szCs w:val="28"/>
        </w:rPr>
        <w:t>астоящее распоряжение в газете «Азейский вестник» и разместить на официальном сайте администрации Азейского сельского поселения в информационно-телекоммуникационной сети «Интернет».</w:t>
      </w:r>
    </w:p>
    <w:p w:rsidR="00C2516D" w:rsidRDefault="00C40B4F" w:rsidP="00185917">
      <w:pPr>
        <w:ind w:firstLine="705"/>
        <w:jc w:val="both"/>
        <w:rPr>
          <w:rFonts w:ascii="Times New Roman" w:hAnsi="Times New Roman" w:cs="Times New Roman"/>
          <w:sz w:val="28"/>
          <w:szCs w:val="28"/>
        </w:rPr>
      </w:pPr>
      <w:r>
        <w:rPr>
          <w:rFonts w:ascii="Times New Roman" w:hAnsi="Times New Roman" w:cs="Times New Roman"/>
          <w:sz w:val="28"/>
          <w:szCs w:val="28"/>
        </w:rPr>
        <w:tab/>
      </w:r>
    </w:p>
    <w:p w:rsidR="004A2682" w:rsidRDefault="00C2516D" w:rsidP="004917EA">
      <w:pPr>
        <w:tabs>
          <w:tab w:val="left" w:pos="322"/>
        </w:tabs>
        <w:ind w:left="284"/>
        <w:jc w:val="both"/>
        <w:rPr>
          <w:rFonts w:ascii="Times New Roman" w:hAnsi="Times New Roman" w:cs="Times New Roman"/>
          <w:sz w:val="28"/>
          <w:szCs w:val="28"/>
        </w:rPr>
      </w:pPr>
      <w:r>
        <w:rPr>
          <w:rFonts w:ascii="Times New Roman" w:hAnsi="Times New Roman" w:cs="Times New Roman"/>
          <w:sz w:val="28"/>
          <w:szCs w:val="28"/>
        </w:rPr>
        <w:t xml:space="preserve">      </w:t>
      </w:r>
    </w:p>
    <w:p w:rsidR="00C2516D" w:rsidRDefault="00C2516D" w:rsidP="00C40B4F">
      <w:pPr>
        <w:jc w:val="both"/>
        <w:rPr>
          <w:rFonts w:ascii="Times New Roman" w:hAnsi="Times New Roman" w:cs="Times New Roman"/>
          <w:sz w:val="28"/>
          <w:szCs w:val="28"/>
        </w:rPr>
      </w:pPr>
    </w:p>
    <w:p w:rsidR="00BB72C5" w:rsidRDefault="00BB72C5" w:rsidP="00C40B4F">
      <w:pPr>
        <w:jc w:val="both"/>
        <w:rPr>
          <w:rFonts w:ascii="Times New Roman" w:hAnsi="Times New Roman" w:cs="Times New Roman"/>
          <w:sz w:val="28"/>
          <w:szCs w:val="28"/>
        </w:rPr>
      </w:pPr>
    </w:p>
    <w:p w:rsidR="00C40B4F" w:rsidRDefault="00BB5D32" w:rsidP="00C40B4F">
      <w:pPr>
        <w:jc w:val="both"/>
        <w:rPr>
          <w:rFonts w:ascii="Times New Roman" w:hAnsi="Times New Roman" w:cs="Times New Roman"/>
          <w:sz w:val="28"/>
          <w:szCs w:val="28"/>
        </w:rPr>
      </w:pPr>
      <w:r>
        <w:rPr>
          <w:rFonts w:ascii="Times New Roman" w:hAnsi="Times New Roman" w:cs="Times New Roman"/>
          <w:sz w:val="28"/>
          <w:szCs w:val="28"/>
        </w:rPr>
        <w:t>Г</w:t>
      </w:r>
      <w:r w:rsidR="005E4F8C">
        <w:rPr>
          <w:rFonts w:ascii="Times New Roman" w:hAnsi="Times New Roman" w:cs="Times New Roman"/>
          <w:sz w:val="28"/>
          <w:szCs w:val="28"/>
        </w:rPr>
        <w:t>лав</w:t>
      </w:r>
      <w:r>
        <w:rPr>
          <w:rFonts w:ascii="Times New Roman" w:hAnsi="Times New Roman" w:cs="Times New Roman"/>
          <w:sz w:val="28"/>
          <w:szCs w:val="28"/>
        </w:rPr>
        <w:t>а</w:t>
      </w:r>
      <w:r w:rsidR="005E4F8C">
        <w:rPr>
          <w:rFonts w:ascii="Times New Roman" w:hAnsi="Times New Roman" w:cs="Times New Roman"/>
          <w:sz w:val="28"/>
          <w:szCs w:val="28"/>
        </w:rPr>
        <w:t xml:space="preserve"> </w:t>
      </w:r>
      <w:r w:rsidR="00C2516D">
        <w:rPr>
          <w:rFonts w:ascii="Times New Roman" w:hAnsi="Times New Roman" w:cs="Times New Roman"/>
          <w:sz w:val="28"/>
          <w:szCs w:val="28"/>
        </w:rPr>
        <w:t>Азей</w:t>
      </w:r>
      <w:r w:rsidR="00C40B4F" w:rsidRPr="00C40B4F">
        <w:rPr>
          <w:rFonts w:ascii="Times New Roman" w:hAnsi="Times New Roman" w:cs="Times New Roman"/>
          <w:sz w:val="28"/>
          <w:szCs w:val="28"/>
        </w:rPr>
        <w:t xml:space="preserve">ского </w:t>
      </w:r>
    </w:p>
    <w:p w:rsidR="00C40B4F" w:rsidRDefault="00C40B4F" w:rsidP="00C40B4F">
      <w:pPr>
        <w:jc w:val="both"/>
        <w:rPr>
          <w:rFonts w:ascii="Times New Roman" w:hAnsi="Times New Roman" w:cs="Times New Roman"/>
          <w:sz w:val="28"/>
          <w:szCs w:val="28"/>
        </w:rPr>
      </w:pPr>
      <w:r w:rsidRPr="00C40B4F">
        <w:rPr>
          <w:rFonts w:ascii="Times New Roman" w:hAnsi="Times New Roman" w:cs="Times New Roman"/>
          <w:sz w:val="28"/>
          <w:szCs w:val="28"/>
        </w:rPr>
        <w:t xml:space="preserve">сельского поселения </w:t>
      </w:r>
      <w:r w:rsidRPr="00C40B4F">
        <w:rPr>
          <w:rFonts w:ascii="Times New Roman" w:hAnsi="Times New Roman" w:cs="Times New Roman"/>
          <w:sz w:val="28"/>
          <w:szCs w:val="28"/>
        </w:rPr>
        <w:tab/>
      </w:r>
      <w:r w:rsidRPr="00C40B4F">
        <w:rPr>
          <w:rFonts w:ascii="Times New Roman" w:hAnsi="Times New Roman" w:cs="Times New Roman"/>
          <w:sz w:val="28"/>
          <w:szCs w:val="28"/>
        </w:rPr>
        <w:tab/>
      </w:r>
      <w:r w:rsidR="00BB5D32">
        <w:rPr>
          <w:rFonts w:ascii="Times New Roman" w:hAnsi="Times New Roman" w:cs="Times New Roman"/>
          <w:sz w:val="28"/>
          <w:szCs w:val="28"/>
        </w:rPr>
        <w:t xml:space="preserve"> </w:t>
      </w:r>
      <w:r w:rsidRPr="00C40B4F">
        <w:rPr>
          <w:rFonts w:ascii="Times New Roman" w:hAnsi="Times New Roman" w:cs="Times New Roman"/>
          <w:sz w:val="28"/>
          <w:szCs w:val="28"/>
        </w:rPr>
        <w:tab/>
      </w:r>
      <w:r w:rsidR="004917EA">
        <w:rPr>
          <w:rFonts w:ascii="Times New Roman" w:hAnsi="Times New Roman" w:cs="Times New Roman"/>
          <w:sz w:val="28"/>
          <w:szCs w:val="28"/>
        </w:rPr>
        <w:t xml:space="preserve">                     </w:t>
      </w:r>
      <w:r>
        <w:rPr>
          <w:rFonts w:ascii="Times New Roman" w:hAnsi="Times New Roman" w:cs="Times New Roman"/>
          <w:sz w:val="28"/>
          <w:szCs w:val="28"/>
        </w:rPr>
        <w:t xml:space="preserve">             </w:t>
      </w:r>
      <w:r w:rsidR="00B04335">
        <w:rPr>
          <w:rFonts w:ascii="Times New Roman" w:hAnsi="Times New Roman" w:cs="Times New Roman"/>
          <w:sz w:val="28"/>
          <w:szCs w:val="28"/>
        </w:rPr>
        <w:t xml:space="preserve">           </w:t>
      </w:r>
      <w:r w:rsidR="00BB5D32">
        <w:rPr>
          <w:rFonts w:ascii="Times New Roman" w:hAnsi="Times New Roman" w:cs="Times New Roman"/>
          <w:sz w:val="28"/>
          <w:szCs w:val="28"/>
        </w:rPr>
        <w:t>Т.Г. Кириллова</w:t>
      </w:r>
    </w:p>
    <w:p w:rsidR="00182D62" w:rsidRDefault="00182D62" w:rsidP="00C40B4F">
      <w:pPr>
        <w:jc w:val="both"/>
        <w:rPr>
          <w:rFonts w:ascii="Times New Roman" w:hAnsi="Times New Roman" w:cs="Times New Roman"/>
          <w:sz w:val="28"/>
          <w:szCs w:val="28"/>
        </w:rPr>
      </w:pPr>
    </w:p>
    <w:p w:rsidR="00182D62" w:rsidRDefault="00182D62" w:rsidP="00C40B4F">
      <w:pPr>
        <w:jc w:val="both"/>
        <w:rPr>
          <w:rFonts w:ascii="Times New Roman" w:hAnsi="Times New Roman" w:cs="Times New Roman"/>
          <w:sz w:val="28"/>
          <w:szCs w:val="28"/>
        </w:rPr>
      </w:pPr>
    </w:p>
    <w:p w:rsidR="00182D62" w:rsidRDefault="00182D62" w:rsidP="00C40B4F">
      <w:pPr>
        <w:jc w:val="both"/>
        <w:rPr>
          <w:rFonts w:ascii="Times New Roman" w:hAnsi="Times New Roman" w:cs="Times New Roman"/>
          <w:sz w:val="28"/>
          <w:szCs w:val="28"/>
        </w:rPr>
      </w:pPr>
    </w:p>
    <w:p w:rsidR="0025665F" w:rsidRDefault="0025665F" w:rsidP="00C40B4F">
      <w:pPr>
        <w:jc w:val="both"/>
        <w:rPr>
          <w:rFonts w:ascii="Times New Roman" w:hAnsi="Times New Roman" w:cs="Times New Roman"/>
          <w:sz w:val="28"/>
          <w:szCs w:val="28"/>
        </w:rPr>
      </w:pPr>
    </w:p>
    <w:p w:rsidR="0025665F" w:rsidRDefault="0025665F" w:rsidP="00C40B4F">
      <w:pPr>
        <w:jc w:val="both"/>
        <w:rPr>
          <w:rFonts w:ascii="Times New Roman" w:hAnsi="Times New Roman" w:cs="Times New Roman"/>
          <w:sz w:val="28"/>
          <w:szCs w:val="28"/>
        </w:rPr>
      </w:pPr>
    </w:p>
    <w:p w:rsidR="0025665F" w:rsidRDefault="0025665F" w:rsidP="00C40B4F">
      <w:pPr>
        <w:jc w:val="both"/>
        <w:rPr>
          <w:rFonts w:ascii="Times New Roman" w:hAnsi="Times New Roman" w:cs="Times New Roman"/>
          <w:sz w:val="28"/>
          <w:szCs w:val="28"/>
        </w:rPr>
      </w:pPr>
    </w:p>
    <w:p w:rsidR="0025665F" w:rsidRDefault="0025665F" w:rsidP="00C40B4F">
      <w:pPr>
        <w:jc w:val="both"/>
        <w:rPr>
          <w:rFonts w:ascii="Times New Roman" w:hAnsi="Times New Roman" w:cs="Times New Roman"/>
          <w:sz w:val="28"/>
          <w:szCs w:val="28"/>
        </w:rPr>
      </w:pPr>
    </w:p>
    <w:p w:rsidR="00182D62" w:rsidRDefault="00182D62" w:rsidP="00C40B4F">
      <w:pPr>
        <w:jc w:val="both"/>
        <w:rPr>
          <w:rFonts w:ascii="Times New Roman" w:hAnsi="Times New Roman" w:cs="Times New Roman"/>
          <w:sz w:val="28"/>
          <w:szCs w:val="28"/>
        </w:rPr>
      </w:pPr>
    </w:p>
    <w:p w:rsidR="00182D62" w:rsidRDefault="00182D62" w:rsidP="00C40B4F">
      <w:pPr>
        <w:jc w:val="both"/>
        <w:rPr>
          <w:rFonts w:ascii="Times New Roman" w:hAnsi="Times New Roman" w:cs="Times New Roman"/>
          <w:sz w:val="28"/>
          <w:szCs w:val="28"/>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lastRenderedPageBreak/>
        <w:t>Пояснительная записка</w:t>
      </w: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по основным параметрам прогноза социально-экономического развития Азейского муниципального образования на 2026 год и плановый период 2027 и 2028 год</w:t>
      </w:r>
      <w:r w:rsidR="00F71F5B">
        <w:rPr>
          <w:rFonts w:ascii="Times New Roman" w:eastAsia="Times New Roman" w:hAnsi="Times New Roman" w:cs="Times New Roman"/>
          <w:b/>
          <w:bCs/>
          <w:color w:val="000000"/>
          <w:sz w:val="28"/>
          <w:szCs w:val="28"/>
          <w:lang w:eastAsia="ru-RU"/>
        </w:rPr>
        <w:t>ы</w:t>
      </w:r>
      <w:r w:rsidRPr="007B43FD">
        <w:rPr>
          <w:rFonts w:ascii="Times New Roman" w:eastAsia="Times New Roman" w:hAnsi="Times New Roman" w:cs="Times New Roman"/>
          <w:b/>
          <w:bCs/>
          <w:color w:val="000000"/>
          <w:sz w:val="28"/>
          <w:szCs w:val="28"/>
          <w:lang w:eastAsia="ru-RU"/>
        </w:rPr>
        <w:t>.</w:t>
      </w: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1. Общая оценка социально-экономической ситуации</w:t>
      </w: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в муниципальном образовании за отчетный период</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Азейское сельское поселение расположено на востоке </w:t>
      </w:r>
      <w:proofErr w:type="gramStart"/>
      <w:r w:rsidRPr="007B43FD">
        <w:rPr>
          <w:rFonts w:ascii="Times New Roman" w:eastAsia="Times New Roman" w:hAnsi="Times New Roman" w:cs="Times New Roman"/>
          <w:bCs/>
          <w:color w:val="000000"/>
          <w:sz w:val="28"/>
          <w:szCs w:val="28"/>
          <w:lang w:eastAsia="ru-RU"/>
        </w:rPr>
        <w:t>Тулунского  района</w:t>
      </w:r>
      <w:proofErr w:type="gramEnd"/>
      <w:r w:rsidRPr="007B43FD">
        <w:rPr>
          <w:rFonts w:ascii="Times New Roman" w:eastAsia="Times New Roman" w:hAnsi="Times New Roman" w:cs="Times New Roman"/>
          <w:bCs/>
          <w:color w:val="000000"/>
          <w:sz w:val="28"/>
          <w:szCs w:val="28"/>
          <w:lang w:eastAsia="ru-RU"/>
        </w:rPr>
        <w:t xml:space="preserve">  Иркутской области. На севере сельское поселение граничит с Писаревским сельским поселением, северо-востоке и востоке с Шерагульским сельским поселением, на юге с Гадалейским сельским </w:t>
      </w:r>
      <w:proofErr w:type="gramStart"/>
      <w:r w:rsidRPr="007B43FD">
        <w:rPr>
          <w:rFonts w:ascii="Times New Roman" w:eastAsia="Times New Roman" w:hAnsi="Times New Roman" w:cs="Times New Roman"/>
          <w:bCs/>
          <w:color w:val="000000"/>
          <w:sz w:val="28"/>
          <w:szCs w:val="28"/>
          <w:lang w:eastAsia="ru-RU"/>
        </w:rPr>
        <w:t>поселением,  на</w:t>
      </w:r>
      <w:proofErr w:type="gramEnd"/>
      <w:r w:rsidRPr="007B43FD">
        <w:rPr>
          <w:rFonts w:ascii="Times New Roman" w:eastAsia="Times New Roman" w:hAnsi="Times New Roman" w:cs="Times New Roman"/>
          <w:bCs/>
          <w:color w:val="000000"/>
          <w:sz w:val="28"/>
          <w:szCs w:val="28"/>
          <w:lang w:eastAsia="ru-RU"/>
        </w:rPr>
        <w:t xml:space="preserve"> западе с муниципальным образованием «г. Тулун».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Территория в границах сельского поселения – 12 080 га, что составляет 0,87 % территории Тулунского района. Производственные территории занимают 1841 га., лесной фонд – 6308 га., земли сельскохозяйственного назначения – 927 га.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Азейское сельское поселение имеет выгодное географическое положение: размещение </w:t>
      </w:r>
      <w:proofErr w:type="gramStart"/>
      <w:r w:rsidRPr="007B43FD">
        <w:rPr>
          <w:rFonts w:ascii="Times New Roman" w:eastAsia="Times New Roman" w:hAnsi="Times New Roman" w:cs="Times New Roman"/>
          <w:bCs/>
          <w:color w:val="000000"/>
          <w:sz w:val="28"/>
          <w:szCs w:val="28"/>
          <w:lang w:eastAsia="ru-RU"/>
        </w:rPr>
        <w:t>Восточно-Сибирской</w:t>
      </w:r>
      <w:proofErr w:type="gramEnd"/>
      <w:r w:rsidRPr="007B43FD">
        <w:rPr>
          <w:rFonts w:ascii="Times New Roman" w:eastAsia="Times New Roman" w:hAnsi="Times New Roman" w:cs="Times New Roman"/>
          <w:bCs/>
          <w:color w:val="000000"/>
          <w:sz w:val="28"/>
          <w:szCs w:val="28"/>
          <w:lang w:eastAsia="ru-RU"/>
        </w:rPr>
        <w:t xml:space="preserve"> железнодорожной магистрали и автомобильной дороги федерального значения Р-255 «Сибирь» (на участке «Красноярск – Иркутск), а также с близостью районного центра Тулунского района (г. Тулун). Расстояние от административного центра поселения до районного центра по автомобильной дороге составляет 18 км., расстояние от с. Азей до ст. Тулун по железной дороге – 21 км. Азейское сельское поселение имеет высокий природно-ресурсный потенциал, основным богатством являются угли Азейского месторождения, и нерудные ископаемые.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На территории Азейского сельского поселения числится 328 хозяйств, из них: с. Азей - 307 хозяйств, д. Нюра - 21 хозяйство. Численность населения по данным Федеральной службы государственной статистики по Иркутской области на 01.01.2025 г. составляет 496 человек, из них: работающих - 205 чел.</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связи с нестабильностью пассажиропотока в поселении и соответственно нерентабельностью </w:t>
      </w:r>
      <w:proofErr w:type="gramStart"/>
      <w:r w:rsidRPr="007B43FD">
        <w:rPr>
          <w:rFonts w:ascii="Times New Roman" w:eastAsia="Times New Roman" w:hAnsi="Times New Roman" w:cs="Times New Roman"/>
          <w:bCs/>
          <w:color w:val="000000"/>
          <w:sz w:val="28"/>
          <w:szCs w:val="28"/>
          <w:lang w:eastAsia="ru-RU"/>
        </w:rPr>
        <w:t>перевозок  отсутствуют</w:t>
      </w:r>
      <w:proofErr w:type="gramEnd"/>
      <w:r w:rsidRPr="007B43FD">
        <w:rPr>
          <w:rFonts w:ascii="Times New Roman" w:eastAsia="Times New Roman" w:hAnsi="Times New Roman" w:cs="Times New Roman"/>
          <w:bCs/>
          <w:color w:val="000000"/>
          <w:sz w:val="28"/>
          <w:szCs w:val="28"/>
          <w:lang w:eastAsia="ru-RU"/>
        </w:rPr>
        <w:t xml:space="preserve"> межмуниципальные пассажирские перевозки автобусами и маршрутными такси между районным центром и населенными пунктами сельского поселения. До административного центра района осуществляется проезд железнодорожным сообщением (электричка утром и вечером), личным автотранспортом (в летний период и мототранспортом), а также такси.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2. Добыча полезных ископаемых</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Преобладающим видом деятельности, определяющим экономическую структуру Азейского МО, является промышленное производство.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 xml:space="preserve">Добычей бурого угля занимается участок «Азейский» филиала «Разрез «Тулунуголь» ООО «Компания «Востсибуголь».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За 2024 год данным предприятием было добыто 1978 тыс. тонн угля, что на 73 тыс. тонн или на 3,7 % больше, чем за 2023 год (1905 тыс. тонн). По оценке 2025 года добыча угля составит 1937,0 тыс. тонн, уменьшится к уровню 2024 года на 41,0 тыс. тонн или 2,0 %. Согласно прогнозным данным к 2028 году планируется добывать 1085,0 тыс. тонн угля, что меньше уровня 2024 года на 893 тыс. тонн или на 45,1 %.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Снижение объёмов угля обусловлено замещением объёмов добычи на </w:t>
      </w:r>
      <w:proofErr w:type="spellStart"/>
      <w:r w:rsidRPr="007B43FD">
        <w:rPr>
          <w:rFonts w:ascii="Times New Roman" w:eastAsia="Times New Roman" w:hAnsi="Times New Roman" w:cs="Times New Roman"/>
          <w:bCs/>
          <w:color w:val="000000"/>
          <w:sz w:val="28"/>
          <w:szCs w:val="28"/>
          <w:lang w:eastAsia="ru-RU"/>
        </w:rPr>
        <w:t>Мугунском</w:t>
      </w:r>
      <w:proofErr w:type="spellEnd"/>
      <w:r w:rsidRPr="007B43FD">
        <w:rPr>
          <w:rFonts w:ascii="Times New Roman" w:eastAsia="Times New Roman" w:hAnsi="Times New Roman" w:cs="Times New Roman"/>
          <w:bCs/>
          <w:color w:val="000000"/>
          <w:sz w:val="28"/>
          <w:szCs w:val="28"/>
          <w:lang w:eastAsia="ru-RU"/>
        </w:rPr>
        <w:t xml:space="preserve"> угольном месторождении, в рамках выданной лицензии на отработку Южного участка Мугунского угольного разреза, а также выбытием отработанных площадей участка </w:t>
      </w:r>
      <w:proofErr w:type="spellStart"/>
      <w:r w:rsidRPr="007B43FD">
        <w:rPr>
          <w:rFonts w:ascii="Times New Roman" w:eastAsia="Times New Roman" w:hAnsi="Times New Roman" w:cs="Times New Roman"/>
          <w:bCs/>
          <w:color w:val="000000"/>
          <w:sz w:val="28"/>
          <w:szCs w:val="28"/>
          <w:lang w:eastAsia="ru-RU"/>
        </w:rPr>
        <w:t>Заазейский</w:t>
      </w:r>
      <w:proofErr w:type="spellEnd"/>
      <w:r w:rsidRPr="007B43FD">
        <w:rPr>
          <w:rFonts w:ascii="Times New Roman" w:eastAsia="Times New Roman" w:hAnsi="Times New Roman" w:cs="Times New Roman"/>
          <w:bCs/>
          <w:color w:val="000000"/>
          <w:sz w:val="28"/>
          <w:szCs w:val="28"/>
          <w:lang w:eastAsia="ru-RU"/>
        </w:rPr>
        <w:t xml:space="preserve"> II.</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2024 году выручка от реализации товаров увеличилась на 19,7 % по сравнению с прошлым годом и составил 3489,3 млн. руб. (за 2023 г. – 2802,8 млн. руб.). По оценке 2025 года данный показатель увеличится к уровню 2024 года на 13,8 %, в 2028 году увеличится к уровню 2024 года на 5,8 % и составит 3702,9 млн. руб.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Среднесписочная численность работающих на данном предприятии на 01.01.2025 г. составила 782 человека, в том числе 41 чел. – жители Азейского МО, снизилась к уровню прошлого года на 1 чел. По оценке 2025-2028 гг. прогнозируется снижение численности рабочих, в связи с дальнейшими сокращениями.</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 Среднемесячная заработная плата работников в 2024 году составила 85610 руб., увеличилась к уровню 2023 года на 13,8 %, в 2028 году прогнозный показатель составит 100289 руб., увеличится к уровню 2024 года на 14,6 %.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3. Обрабатывающее производство</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Обрабатывающее производство на территории Азейского МО отсутствует.</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4. Обеспечение электрической энергией, газом и паром</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Жилой фонд Азейского сельского поселения составляет 14,073 кв. м. и включает в себя: 5 многоквартирных панельных домов, площадью 5764,3 кв. м., имеющих все виды коммунальных услуг (централизованное отопление, холодное и горячее водоснабжение, водоотведение), 130 индивидуальных жилых домов с приусадебными участками, которые имеют печное и бойлерное отопление, 23 двухквартирных и 2 трехквартирных дома в </w:t>
      </w:r>
      <w:proofErr w:type="spellStart"/>
      <w:r w:rsidRPr="007B43FD">
        <w:rPr>
          <w:rFonts w:ascii="Times New Roman" w:eastAsia="Times New Roman" w:hAnsi="Times New Roman" w:cs="Times New Roman"/>
          <w:bCs/>
          <w:color w:val="000000"/>
          <w:sz w:val="28"/>
          <w:szCs w:val="28"/>
          <w:lang w:eastAsia="ru-RU"/>
        </w:rPr>
        <w:t>брусовом</w:t>
      </w:r>
      <w:proofErr w:type="spellEnd"/>
      <w:r w:rsidRPr="007B43FD">
        <w:rPr>
          <w:rFonts w:ascii="Times New Roman" w:eastAsia="Times New Roman" w:hAnsi="Times New Roman" w:cs="Times New Roman"/>
          <w:bCs/>
          <w:color w:val="000000"/>
          <w:sz w:val="28"/>
          <w:szCs w:val="28"/>
          <w:lang w:eastAsia="ru-RU"/>
        </w:rPr>
        <w:t xml:space="preserve"> исполнении (частично имеющих централизованное отопление).</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Коммунальное хозяйство Азейского сельского поселения представлено следующими объектами:</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w:t>
      </w:r>
      <w:r w:rsidRPr="007B43FD">
        <w:rPr>
          <w:rFonts w:ascii="Times New Roman" w:eastAsia="Times New Roman" w:hAnsi="Times New Roman" w:cs="Times New Roman"/>
          <w:bCs/>
          <w:color w:val="000000"/>
          <w:sz w:val="28"/>
          <w:szCs w:val="28"/>
          <w:lang w:eastAsia="ru-RU"/>
        </w:rPr>
        <w:tab/>
        <w:t xml:space="preserve">котельная КМТ-1,25 (мощность 4 Гкал/ч., площадь 96,1 кв.м., два водогрейных котла, отапливается твердым топливом – бурым </w:t>
      </w:r>
      <w:proofErr w:type="spellStart"/>
      <w:r w:rsidRPr="007B43FD">
        <w:rPr>
          <w:rFonts w:ascii="Times New Roman" w:eastAsia="Times New Roman" w:hAnsi="Times New Roman" w:cs="Times New Roman"/>
          <w:bCs/>
          <w:color w:val="000000"/>
          <w:sz w:val="28"/>
          <w:szCs w:val="28"/>
          <w:lang w:eastAsia="ru-RU"/>
        </w:rPr>
        <w:t>уголем</w:t>
      </w:r>
      <w:proofErr w:type="spellEnd"/>
      <w:r w:rsidRPr="007B43FD">
        <w:rPr>
          <w:rFonts w:ascii="Times New Roman" w:eastAsia="Times New Roman" w:hAnsi="Times New Roman" w:cs="Times New Roman"/>
          <w:bCs/>
          <w:color w:val="000000"/>
          <w:sz w:val="28"/>
          <w:szCs w:val="28"/>
          <w:lang w:eastAsia="ru-RU"/>
        </w:rPr>
        <w:t xml:space="preserve">, ввод в эксплуатацию - 2004 г.);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 xml:space="preserve">водозабор (машинное отделение, лаборатория, водонапорная башня, резервуар </w:t>
      </w:r>
      <w:proofErr w:type="spellStart"/>
      <w:r w:rsidRPr="007B43FD">
        <w:rPr>
          <w:rFonts w:ascii="Times New Roman" w:eastAsia="Times New Roman" w:hAnsi="Times New Roman" w:cs="Times New Roman"/>
          <w:bCs/>
          <w:color w:val="000000"/>
          <w:sz w:val="28"/>
          <w:szCs w:val="28"/>
          <w:lang w:eastAsia="ru-RU"/>
        </w:rPr>
        <w:t>водообеспечения</w:t>
      </w:r>
      <w:proofErr w:type="spellEnd"/>
      <w:r w:rsidRPr="007B43FD">
        <w:rPr>
          <w:rFonts w:ascii="Times New Roman" w:eastAsia="Times New Roman" w:hAnsi="Times New Roman" w:cs="Times New Roman"/>
          <w:bCs/>
          <w:color w:val="000000"/>
          <w:sz w:val="28"/>
          <w:szCs w:val="28"/>
          <w:lang w:eastAsia="ru-RU"/>
        </w:rPr>
        <w:t xml:space="preserve">);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 xml:space="preserve">канализационная-насосная станция (канализационные стоки от благоустроенного жилого фонда через канализационно-насосную станцию поступают в очистные сооружения производственного участка «Азейский» филиала «Разрез «Тулунуголь» ООО «Компания «Востсибуголь»);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 xml:space="preserve">сети (водоотведение, теплоснабжение, водоснабжение);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водоразборные колонки, которые являются частью водопроводных сетей, расположенные по адресу:</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с. Азей, ул. Привокзальная (2 объекта)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 с. Азей, ул. Центральная (1 объект)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 с. Азей, ул. Российская (1 объект);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водонапорная башня, расположенная по адресу:</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с. Азей, ул. Подгорная (1 объект);</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Коммунальные услуги (водоотведение, холодное и горячее водоснабжение, теплоснабжение) на территории сельского поселения предоставляет МУСХП «Центральное». Данное предприятие обслуживает 1 котельную, работающую на твердом топливе (уголь), водозабор. За 2024 год данным предприятием выработано ГВС для с.Азей (Азейское с/п), в объеме 2760.36 м3., ХВС – 27139 м3, объем водоотведения 10570.86 м.3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Выручка от реализации товаров (работ, услуг) составила 8,5 млн. руб. (в 2023 году – 8 млн. руб.), выросла в сравнении с предыдущим годом на 0,5 млн. руб. Задолженность населения по оплате за коммунальные услуги перед предприятием МУСХП «Центральное» за 2024 год составляет 5,3 млн. руб. (в 2023 г. – 4,4 млн.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По сведениям предприятий, среднесписочная численность работников предприятия ЖКХ на территории Азейского сельского поселения по состоянию на 01.01.2025 г. составляет 13 чел., увеличилась на 1 чел. в сравнении с прошлым годом (на 01.01.2024 г. - 12 чел.).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Среднемесячная заработная плата работников за 2024 год уменьшилась на 11,3 % и составила 29427,41 руб. (в 2023 г. – 33190,49 руб.). По оценке 2025 года – 31663,89 руб., к 2028 году увеличится на 17,4 % и составит 35617,57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Предприятие МУСХП «Центральное» с 2023 года находится в состоянии банкротства и является убыточным. Имеются </w:t>
      </w:r>
      <w:proofErr w:type="gramStart"/>
      <w:r w:rsidRPr="007B43FD">
        <w:rPr>
          <w:rFonts w:ascii="Times New Roman" w:eastAsia="Times New Roman" w:hAnsi="Times New Roman" w:cs="Times New Roman"/>
          <w:bCs/>
          <w:color w:val="000000"/>
          <w:sz w:val="28"/>
          <w:szCs w:val="28"/>
          <w:lang w:eastAsia="ru-RU"/>
        </w:rPr>
        <w:t>проблемы</w:t>
      </w:r>
      <w:proofErr w:type="gramEnd"/>
      <w:r w:rsidRPr="007B43FD">
        <w:rPr>
          <w:rFonts w:ascii="Times New Roman" w:eastAsia="Times New Roman" w:hAnsi="Times New Roman" w:cs="Times New Roman"/>
          <w:bCs/>
          <w:color w:val="000000"/>
          <w:sz w:val="28"/>
          <w:szCs w:val="28"/>
          <w:lang w:eastAsia="ru-RU"/>
        </w:rPr>
        <w:t xml:space="preserve"> связанные с выплатой заработной платы, покупкой угля.</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2026-2028 годах ожидается повышение тарифов на коммунальные услуги в связи с законодательством Российской Федерации.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5.  Сельское, лесное хозяйство, охота, рыболовство и рыбоводство</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Территория Азейского сельского поселения не является сельскохозяйственной зоной. Растениеводство и животноводство, лесоводство и лесозаготовки, охота и предоставление соответствующих услуг в этих областях на территории Азейского сельского поселения отсутствует.</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6. Строительство</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На территории поселения ведется только индивидуальное строительство.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соответствии с действующим законодательством жители регистрируют жилье в Росреестре в упрощенном порядке, минуя органы местного самоуправления. В связи с чем, сделать реальный прогноз о вводе жилья на будущие периоды не представляется возможным.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7. Торговля оптовая и розничная</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За 2024 года объем розничного товарооборота в действующих ценах уменьшился на 21,7 % по сравнению с прошлым годом и составил 9730 млн. руб. (за 2023 г. – 12430 млн. руб.). По оценке 2025 года увеличиться к уровню 2024 г. на 7,0 % и составит 10469 млн. руб., по прогнозным данным в 2028 году увеличится к уровню 2024 года на 17,3 % и составит 11768 млн.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В расчете на душу населения оборот розничной торговли за 2024 год составил 19,6 тыс. руб. (в 2023 г. – 25,0 тыс. руб.), по прогнозу в 2028 году – 23,7 тыс.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На территории Азейского МО по состоянию на 01.01.2025 г. осуществляют деятельность в сфере торговли 3 организации: 2 ИП и отделение Тулунского почтамта. Открытие новых торговых точек не прогнозируется. Услуги общественного питания, бытовые услуги не оказываются. В здании МКУК «КДЦ с.Азей» осуществляет свою деятельность парикмахер по приглашению (раз в 2-3 недели).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Среднесписочная численность работающих в сфере торговли в 2024 году составила 4 чел., снизилась на 2 чел. к уровню 2023 года, по прогнозу в 2028 г. – 4 чел.</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Положение на потребительском рынке как продовольственными, так и непродовольственными товарами в течение года оставалось стабильным.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В течение отчетного года на ряд социально-значимых продовольственных товаров первой необходимости наблюдалось колебание розничных цен.</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 Повышение розничных цен к уровню 2023 года наблюдалось: на масло сливочное – 36,2 %; на овощи и фрукты – 22,1 %; на рыбу мороженую – 17,5 %; на молоко и молочную продукцию – 15,7 %; на хлеб и хлебобулочные изделия – на 13,2 %; на подсолнечное масло – 12,7 %.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По итогам 2024 года незначительно выросли цены на крупы, макаронные изделия, сахар, незначительно снизились цены на куриное мясо.</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 xml:space="preserve">По ассортименту товаров структура розничного товарооборота осталась на уровне прошлого года.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Стабильными в течение отчетного года оставались запасы товаров, относящиеся к разряду первой необходимости: хлеб; соль; сахар; масло растительное; маргариновая продукция; мука; крупы; макаронные изделия; мыло туалетное; хозяйственное; спички; синтетические моющие средства и другие товары.</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Основными проблемами, препятствующими развитию торговых организаций и индивидуальных предпринимателей, осуществляющих деятельность в сфере торговли, являются:</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низкая платежеспособность населения;</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отсутствие развитой инфраструктуры;</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нерентабельность содержания точек;</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налоговая нагрузка, страховые взносы в Фонд пенсионного и социального страхования РФ и другие фонды, рост транспортных расходов;</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постоянно меняющееся законодательство: введение онлайн-касс, маркировка продукции. Это требует финансовых затрат как на приобретение нового оборудования, так и на обучение сотрудников;</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федеральные сетевые магазины на территории г. Тулуна создают конкуренцию для организаций розничной торговли в ближайших к городу деревнях и сёлах.</w:t>
      </w: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СОЦИАЛЬНАЯ СФЕРА</w:t>
      </w: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8. Образование</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На территории Азейского сельского поселения действует одна школа - МОУ «Азейская СОШ» в с. Азей общей площадью – 988,7 кв. м. Школа имеет лицензии на право ведения образовательной деятельности по основным общеобразовательным программам начального общего, основного общего и среднего общего образования, свидетельство об аккредитации образовательной деятельности, санитарно-эпидемиологическое заключение о соответствии государственным санитарно-эпидемиологическим правилам и нормативам. В учреждении школы созданы необходимые условия для обучения и воспитания детей. Ежегодно, совместно с родителями, проводится косметический ремонт в классах школы. На постоянном контроле соблюдение теплового, светового режима и выполнение других санитарно-гигиенических норм. Созданы условия для организации горячего питания обучающихся, в том числе для льготной категории обучающихся. В настоящее время все дети школьного возраста поселения полностью охвачены учебным процессом. Организована перевозка обучающихся к месту обучения и обратно из населенного пункта д.Нюра для 3 обучающихся. Автомобильный парк образовательного учреждений составляет 1 единица техники. В МОУ «Азейская СОШ» обучается 80 чел. (В 2023 году – 79 чел.). Дети с ограниченными возможностями здоровья, и дети инвалиды отсутствуют.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 xml:space="preserve">Продолжает свою деятельность отделение изобразительного искусства от МКОУ ДО «Детская школа искусств» </w:t>
      </w:r>
      <w:proofErr w:type="spellStart"/>
      <w:r w:rsidRPr="007B43FD">
        <w:rPr>
          <w:rFonts w:ascii="Times New Roman" w:eastAsia="Times New Roman" w:hAnsi="Times New Roman" w:cs="Times New Roman"/>
          <w:bCs/>
          <w:color w:val="000000"/>
          <w:sz w:val="28"/>
          <w:szCs w:val="28"/>
          <w:lang w:eastAsia="ru-RU"/>
        </w:rPr>
        <w:t>с.Шерагул</w:t>
      </w:r>
      <w:proofErr w:type="spellEnd"/>
      <w:r w:rsidRPr="007B43FD">
        <w:rPr>
          <w:rFonts w:ascii="Times New Roman" w:eastAsia="Times New Roman" w:hAnsi="Times New Roman" w:cs="Times New Roman"/>
          <w:bCs/>
          <w:color w:val="000000"/>
          <w:sz w:val="28"/>
          <w:szCs w:val="28"/>
          <w:lang w:eastAsia="ru-RU"/>
        </w:rPr>
        <w:t xml:space="preserve"> (специализация – батик), где обучаются 8 учеников.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Медицинское обслуживание детей в школе осуществляет медицинский работник ФАПа с.Азей в соответствии с договором на оказание медицинской помощи обучающимся, воспитанникам образовательных учреждений с областным государственным бюджетным учреждением здравоохранения «Тулунская городская больница».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 Количество педагогических работников составляет 18 человек, укомплектованность кадрами - 100 % (вакансий нет). Педагогическая нагрузка учителей высокая. Увеличивается средний возраст педагогических работников, отмечается низкий приток молодых специалистов.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На территории Азейского сельского поселения отсутствует здание детского сада. В состав МОУ «Азейская СОШ» входит группа дошкольного образования общеразвивающей направленности на 20 мест, которую посещают дети от 3-х до 6-ти лет (в 2024 году – 15 человек).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21 мая на базе МОУ «</w:t>
      </w:r>
      <w:proofErr w:type="spellStart"/>
      <w:r w:rsidRPr="007B43FD">
        <w:rPr>
          <w:rFonts w:ascii="Times New Roman" w:eastAsia="Times New Roman" w:hAnsi="Times New Roman" w:cs="Times New Roman"/>
          <w:bCs/>
          <w:color w:val="000000"/>
          <w:sz w:val="28"/>
          <w:szCs w:val="28"/>
          <w:lang w:eastAsia="ru-RU"/>
        </w:rPr>
        <w:t>Алгатуйская</w:t>
      </w:r>
      <w:proofErr w:type="spellEnd"/>
      <w:r w:rsidRPr="007B43FD">
        <w:rPr>
          <w:rFonts w:ascii="Times New Roman" w:eastAsia="Times New Roman" w:hAnsi="Times New Roman" w:cs="Times New Roman"/>
          <w:bCs/>
          <w:color w:val="000000"/>
          <w:sz w:val="28"/>
          <w:szCs w:val="28"/>
          <w:lang w:eastAsia="ru-RU"/>
        </w:rPr>
        <w:t xml:space="preserve"> СОШ» проведена   районная военно-спортивная игра «Зарница». По итогам соревнований III место заняла младшая команда МОУ «Азейская СОШ».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К началу учебного года проведен текущий ремонт здания – покраска фасада школы МОУ «Азейская СОШ».</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В МОУ «</w:t>
      </w:r>
      <w:proofErr w:type="spellStart"/>
      <w:r w:rsidRPr="007B43FD">
        <w:rPr>
          <w:rFonts w:ascii="Times New Roman" w:eastAsia="Times New Roman" w:hAnsi="Times New Roman" w:cs="Times New Roman"/>
          <w:bCs/>
          <w:color w:val="000000"/>
          <w:sz w:val="28"/>
          <w:szCs w:val="28"/>
          <w:lang w:eastAsia="ru-RU"/>
        </w:rPr>
        <w:t>Афанасьевская</w:t>
      </w:r>
      <w:proofErr w:type="spellEnd"/>
      <w:r w:rsidRPr="007B43FD">
        <w:rPr>
          <w:rFonts w:ascii="Times New Roman" w:eastAsia="Times New Roman" w:hAnsi="Times New Roman" w:cs="Times New Roman"/>
          <w:bCs/>
          <w:color w:val="000000"/>
          <w:sz w:val="28"/>
          <w:szCs w:val="28"/>
          <w:lang w:eastAsia="ru-RU"/>
        </w:rPr>
        <w:t xml:space="preserve"> СОШ» состоялось торжественное принятие в ряды </w:t>
      </w:r>
      <w:proofErr w:type="spellStart"/>
      <w:r w:rsidRPr="007B43FD">
        <w:rPr>
          <w:rFonts w:ascii="Times New Roman" w:eastAsia="Times New Roman" w:hAnsi="Times New Roman" w:cs="Times New Roman"/>
          <w:bCs/>
          <w:color w:val="000000"/>
          <w:sz w:val="28"/>
          <w:szCs w:val="28"/>
          <w:lang w:eastAsia="ru-RU"/>
        </w:rPr>
        <w:t>Юнармии</w:t>
      </w:r>
      <w:proofErr w:type="spellEnd"/>
      <w:r w:rsidRPr="007B43FD">
        <w:rPr>
          <w:rFonts w:ascii="Times New Roman" w:eastAsia="Times New Roman" w:hAnsi="Times New Roman" w:cs="Times New Roman"/>
          <w:bCs/>
          <w:color w:val="000000"/>
          <w:sz w:val="28"/>
          <w:szCs w:val="28"/>
          <w:lang w:eastAsia="ru-RU"/>
        </w:rPr>
        <w:t xml:space="preserve">. В ряды </w:t>
      </w:r>
      <w:proofErr w:type="spellStart"/>
      <w:r w:rsidRPr="007B43FD">
        <w:rPr>
          <w:rFonts w:ascii="Times New Roman" w:eastAsia="Times New Roman" w:hAnsi="Times New Roman" w:cs="Times New Roman"/>
          <w:bCs/>
          <w:color w:val="000000"/>
          <w:sz w:val="28"/>
          <w:szCs w:val="28"/>
          <w:lang w:eastAsia="ru-RU"/>
        </w:rPr>
        <w:t>Юнармии</w:t>
      </w:r>
      <w:proofErr w:type="spellEnd"/>
      <w:r w:rsidRPr="007B43FD">
        <w:rPr>
          <w:rFonts w:ascii="Times New Roman" w:eastAsia="Times New Roman" w:hAnsi="Times New Roman" w:cs="Times New Roman"/>
          <w:bCs/>
          <w:color w:val="000000"/>
          <w:sz w:val="28"/>
          <w:szCs w:val="28"/>
          <w:lang w:eastAsia="ru-RU"/>
        </w:rPr>
        <w:t xml:space="preserve"> принимались ребята из МОУ «Азейская СОШ», МОУ «</w:t>
      </w:r>
      <w:proofErr w:type="spellStart"/>
      <w:r w:rsidRPr="007B43FD">
        <w:rPr>
          <w:rFonts w:ascii="Times New Roman" w:eastAsia="Times New Roman" w:hAnsi="Times New Roman" w:cs="Times New Roman"/>
          <w:bCs/>
          <w:color w:val="000000"/>
          <w:sz w:val="28"/>
          <w:szCs w:val="28"/>
          <w:lang w:eastAsia="ru-RU"/>
        </w:rPr>
        <w:t>Шерагульская</w:t>
      </w:r>
      <w:proofErr w:type="spellEnd"/>
      <w:r w:rsidRPr="007B43FD">
        <w:rPr>
          <w:rFonts w:ascii="Times New Roman" w:eastAsia="Times New Roman" w:hAnsi="Times New Roman" w:cs="Times New Roman"/>
          <w:bCs/>
          <w:color w:val="000000"/>
          <w:sz w:val="28"/>
          <w:szCs w:val="28"/>
          <w:lang w:eastAsia="ru-RU"/>
        </w:rPr>
        <w:t xml:space="preserve"> СОШ», МОУ «</w:t>
      </w:r>
      <w:proofErr w:type="spellStart"/>
      <w:r w:rsidRPr="007B43FD">
        <w:rPr>
          <w:rFonts w:ascii="Times New Roman" w:eastAsia="Times New Roman" w:hAnsi="Times New Roman" w:cs="Times New Roman"/>
          <w:bCs/>
          <w:color w:val="000000"/>
          <w:sz w:val="28"/>
          <w:szCs w:val="28"/>
          <w:lang w:eastAsia="ru-RU"/>
        </w:rPr>
        <w:t>Гуранская</w:t>
      </w:r>
      <w:proofErr w:type="spellEnd"/>
      <w:r w:rsidRPr="007B43FD">
        <w:rPr>
          <w:rFonts w:ascii="Times New Roman" w:eastAsia="Times New Roman" w:hAnsi="Times New Roman" w:cs="Times New Roman"/>
          <w:bCs/>
          <w:color w:val="000000"/>
          <w:sz w:val="28"/>
          <w:szCs w:val="28"/>
          <w:lang w:eastAsia="ru-RU"/>
        </w:rPr>
        <w:t xml:space="preserve"> СОШ», МОУ «</w:t>
      </w:r>
      <w:proofErr w:type="spellStart"/>
      <w:r w:rsidRPr="007B43FD">
        <w:rPr>
          <w:rFonts w:ascii="Times New Roman" w:eastAsia="Times New Roman" w:hAnsi="Times New Roman" w:cs="Times New Roman"/>
          <w:bCs/>
          <w:color w:val="000000"/>
          <w:sz w:val="28"/>
          <w:szCs w:val="28"/>
          <w:lang w:eastAsia="ru-RU"/>
        </w:rPr>
        <w:t>Гадалейская</w:t>
      </w:r>
      <w:proofErr w:type="spellEnd"/>
      <w:r w:rsidRPr="007B43FD">
        <w:rPr>
          <w:rFonts w:ascii="Times New Roman" w:eastAsia="Times New Roman" w:hAnsi="Times New Roman" w:cs="Times New Roman"/>
          <w:bCs/>
          <w:color w:val="000000"/>
          <w:sz w:val="28"/>
          <w:szCs w:val="28"/>
          <w:lang w:eastAsia="ru-RU"/>
        </w:rPr>
        <w:t xml:space="preserve"> СОШ», МОУ «</w:t>
      </w:r>
      <w:proofErr w:type="spellStart"/>
      <w:r w:rsidRPr="007B43FD">
        <w:rPr>
          <w:rFonts w:ascii="Times New Roman" w:eastAsia="Times New Roman" w:hAnsi="Times New Roman" w:cs="Times New Roman"/>
          <w:bCs/>
          <w:color w:val="000000"/>
          <w:sz w:val="28"/>
          <w:szCs w:val="28"/>
          <w:lang w:eastAsia="ru-RU"/>
        </w:rPr>
        <w:t>Булюшкинская</w:t>
      </w:r>
      <w:proofErr w:type="spellEnd"/>
      <w:r w:rsidRPr="007B43FD">
        <w:rPr>
          <w:rFonts w:ascii="Times New Roman" w:eastAsia="Times New Roman" w:hAnsi="Times New Roman" w:cs="Times New Roman"/>
          <w:bCs/>
          <w:color w:val="000000"/>
          <w:sz w:val="28"/>
          <w:szCs w:val="28"/>
          <w:lang w:eastAsia="ru-RU"/>
        </w:rPr>
        <w:t xml:space="preserve"> СОШ», МОУ «</w:t>
      </w:r>
      <w:proofErr w:type="spellStart"/>
      <w:r w:rsidRPr="007B43FD">
        <w:rPr>
          <w:rFonts w:ascii="Times New Roman" w:eastAsia="Times New Roman" w:hAnsi="Times New Roman" w:cs="Times New Roman"/>
          <w:bCs/>
          <w:color w:val="000000"/>
          <w:sz w:val="28"/>
          <w:szCs w:val="28"/>
          <w:lang w:eastAsia="ru-RU"/>
        </w:rPr>
        <w:t>Умыганская</w:t>
      </w:r>
      <w:proofErr w:type="spellEnd"/>
      <w:r w:rsidRPr="007B43FD">
        <w:rPr>
          <w:rFonts w:ascii="Times New Roman" w:eastAsia="Times New Roman" w:hAnsi="Times New Roman" w:cs="Times New Roman"/>
          <w:bCs/>
          <w:color w:val="000000"/>
          <w:sz w:val="28"/>
          <w:szCs w:val="28"/>
          <w:lang w:eastAsia="ru-RU"/>
        </w:rPr>
        <w:t xml:space="preserve"> СОШ», МОУ «</w:t>
      </w:r>
      <w:proofErr w:type="spellStart"/>
      <w:r w:rsidRPr="007B43FD">
        <w:rPr>
          <w:rFonts w:ascii="Times New Roman" w:eastAsia="Times New Roman" w:hAnsi="Times New Roman" w:cs="Times New Roman"/>
          <w:bCs/>
          <w:color w:val="000000"/>
          <w:sz w:val="28"/>
          <w:szCs w:val="28"/>
          <w:lang w:eastAsia="ru-RU"/>
        </w:rPr>
        <w:t>Будаговская</w:t>
      </w:r>
      <w:proofErr w:type="spellEnd"/>
      <w:r w:rsidRPr="007B43FD">
        <w:rPr>
          <w:rFonts w:ascii="Times New Roman" w:eastAsia="Times New Roman" w:hAnsi="Times New Roman" w:cs="Times New Roman"/>
          <w:bCs/>
          <w:color w:val="000000"/>
          <w:sz w:val="28"/>
          <w:szCs w:val="28"/>
          <w:lang w:eastAsia="ru-RU"/>
        </w:rPr>
        <w:t xml:space="preserve"> СОШ», МОУ «</w:t>
      </w:r>
      <w:proofErr w:type="spellStart"/>
      <w:r w:rsidRPr="007B43FD">
        <w:rPr>
          <w:rFonts w:ascii="Times New Roman" w:eastAsia="Times New Roman" w:hAnsi="Times New Roman" w:cs="Times New Roman"/>
          <w:bCs/>
          <w:color w:val="000000"/>
          <w:sz w:val="28"/>
          <w:szCs w:val="28"/>
          <w:lang w:eastAsia="ru-RU"/>
        </w:rPr>
        <w:t>Афанасьевская</w:t>
      </w:r>
      <w:proofErr w:type="spellEnd"/>
      <w:r w:rsidRPr="007B43FD">
        <w:rPr>
          <w:rFonts w:ascii="Times New Roman" w:eastAsia="Times New Roman" w:hAnsi="Times New Roman" w:cs="Times New Roman"/>
          <w:bCs/>
          <w:color w:val="000000"/>
          <w:sz w:val="28"/>
          <w:szCs w:val="28"/>
          <w:lang w:eastAsia="ru-RU"/>
        </w:rPr>
        <w:t xml:space="preserve"> СОШ». Было принято более 70 юнармейцев Тулунского района.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По оценке 2025 года и в перспективе на 2026-2028 гг. на территории Азейского сельского поселения не планируется строительства детского сада и школы, в связи с отсутствием необходимости.</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9. Здравоохранение</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Здравоохранение на территории сельского поселения представлено фельдшерско-акушерским пунктом в с.Азей, который является структурным подразделением Шерагульской участковой больницы. В фельдшерско-акушерском пункте с апреля месяца по ноябрь отсутствовал медицинский работник.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7B43FD" w:rsidRPr="00D002A5" w:rsidTr="007B43FD">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7B43FD" w:rsidRPr="007B43FD" w:rsidRDefault="007B43FD" w:rsidP="00AB139D">
            <w:pPr>
              <w:ind w:left="567" w:right="424" w:hanging="207"/>
              <w:jc w:val="center"/>
              <w:rPr>
                <w:rFonts w:ascii="Times New Roman" w:hAnsi="Times New Roman" w:cs="Times New Roman"/>
                <w:b/>
                <w:color w:val="000000"/>
                <w:sz w:val="28"/>
                <w:szCs w:val="26"/>
              </w:rPr>
            </w:pPr>
            <w:r w:rsidRPr="007B43FD">
              <w:rPr>
                <w:rFonts w:ascii="Times New Roman" w:hAnsi="Times New Roman" w:cs="Times New Roman"/>
                <w:b/>
                <w:color w:val="000000"/>
                <w:sz w:val="28"/>
                <w:szCs w:val="26"/>
              </w:rPr>
              <w:t>Мероприятия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7B43FD" w:rsidRPr="007B43FD" w:rsidRDefault="007B43FD" w:rsidP="00AB139D">
            <w:pPr>
              <w:ind w:left="567" w:right="424" w:hanging="207"/>
              <w:jc w:val="center"/>
              <w:rPr>
                <w:rFonts w:ascii="Times New Roman" w:hAnsi="Times New Roman" w:cs="Times New Roman"/>
                <w:b/>
                <w:color w:val="000000"/>
                <w:sz w:val="28"/>
                <w:szCs w:val="26"/>
              </w:rPr>
            </w:pPr>
            <w:r w:rsidRPr="007B43FD">
              <w:rPr>
                <w:rFonts w:ascii="Times New Roman" w:hAnsi="Times New Roman" w:cs="Times New Roman"/>
                <w:b/>
                <w:color w:val="000000"/>
                <w:sz w:val="28"/>
                <w:szCs w:val="26"/>
              </w:rPr>
              <w:t>В 2024 году</w:t>
            </w:r>
          </w:p>
        </w:tc>
      </w:tr>
      <w:tr w:rsidR="007B43FD" w:rsidRPr="00D002A5" w:rsidTr="007B43FD">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7B43FD" w:rsidRPr="007B43FD" w:rsidRDefault="007B43FD" w:rsidP="00AB139D">
            <w:pPr>
              <w:ind w:left="567" w:right="424" w:hanging="207"/>
              <w:rPr>
                <w:rFonts w:ascii="Times New Roman" w:hAnsi="Times New Roman" w:cs="Times New Roman"/>
                <w:color w:val="000000"/>
                <w:sz w:val="28"/>
                <w:szCs w:val="26"/>
              </w:rPr>
            </w:pPr>
            <w:r w:rsidRPr="007B43FD">
              <w:rPr>
                <w:rFonts w:ascii="Times New Roman" w:hAnsi="Times New Roman" w:cs="Times New Roman"/>
                <w:color w:val="000000"/>
                <w:sz w:val="28"/>
                <w:szCs w:val="26"/>
              </w:rPr>
              <w:t>Посещаемость на дому, чел</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7B43FD" w:rsidRPr="007B43FD" w:rsidRDefault="007B43FD" w:rsidP="00AB139D">
            <w:pPr>
              <w:ind w:left="567" w:right="424" w:hanging="207"/>
              <w:jc w:val="center"/>
              <w:rPr>
                <w:rFonts w:ascii="Times New Roman" w:hAnsi="Times New Roman" w:cs="Times New Roman"/>
                <w:color w:val="000000"/>
                <w:sz w:val="28"/>
                <w:szCs w:val="26"/>
              </w:rPr>
            </w:pPr>
            <w:r w:rsidRPr="007B43FD">
              <w:rPr>
                <w:rFonts w:ascii="Times New Roman" w:hAnsi="Times New Roman" w:cs="Times New Roman"/>
                <w:color w:val="000000"/>
                <w:sz w:val="28"/>
                <w:szCs w:val="26"/>
              </w:rPr>
              <w:t>923</w:t>
            </w:r>
          </w:p>
        </w:tc>
      </w:tr>
      <w:tr w:rsidR="007B43FD" w:rsidRPr="00D002A5" w:rsidTr="007B43FD">
        <w:trPr>
          <w:trHeight w:val="347"/>
        </w:trPr>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7B43FD" w:rsidRPr="007B43FD" w:rsidRDefault="007B43FD" w:rsidP="00AB139D">
            <w:pPr>
              <w:ind w:left="567" w:right="424" w:hanging="207"/>
              <w:rPr>
                <w:rFonts w:ascii="Times New Roman" w:hAnsi="Times New Roman" w:cs="Times New Roman"/>
                <w:color w:val="000000"/>
                <w:sz w:val="28"/>
                <w:szCs w:val="26"/>
              </w:rPr>
            </w:pPr>
            <w:r w:rsidRPr="007B43FD">
              <w:rPr>
                <w:rFonts w:ascii="Times New Roman" w:hAnsi="Times New Roman" w:cs="Times New Roman"/>
                <w:color w:val="000000"/>
                <w:sz w:val="28"/>
                <w:szCs w:val="26"/>
              </w:rPr>
              <w:t>Прием в ФАП, чел</w:t>
            </w:r>
          </w:p>
        </w:tc>
        <w:tc>
          <w:tcPr>
            <w:tcW w:w="4394" w:type="dxa"/>
            <w:tcBorders>
              <w:top w:val="single" w:sz="4" w:space="0" w:color="000000"/>
              <w:left w:val="single" w:sz="4" w:space="0" w:color="000000"/>
              <w:bottom w:val="single" w:sz="4" w:space="0" w:color="000000"/>
              <w:right w:val="single" w:sz="4" w:space="0" w:color="000000"/>
            </w:tcBorders>
            <w:shd w:val="clear" w:color="auto" w:fill="auto"/>
            <w:hideMark/>
          </w:tcPr>
          <w:p w:rsidR="007B43FD" w:rsidRPr="007B43FD" w:rsidRDefault="007B43FD" w:rsidP="00AB139D">
            <w:pPr>
              <w:ind w:left="567" w:right="424" w:hanging="207"/>
              <w:jc w:val="center"/>
              <w:rPr>
                <w:rFonts w:ascii="Times New Roman" w:hAnsi="Times New Roman" w:cs="Times New Roman"/>
                <w:color w:val="000000"/>
                <w:sz w:val="28"/>
                <w:szCs w:val="26"/>
              </w:rPr>
            </w:pPr>
            <w:r w:rsidRPr="007B43FD">
              <w:rPr>
                <w:rFonts w:ascii="Times New Roman" w:hAnsi="Times New Roman" w:cs="Times New Roman"/>
                <w:color w:val="000000"/>
                <w:sz w:val="28"/>
                <w:szCs w:val="26"/>
              </w:rPr>
              <w:t>1941</w:t>
            </w:r>
          </w:p>
        </w:tc>
      </w:tr>
    </w:tbl>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Согласно утвержденному плану работы мобильных бригад ежегодно осуществляется выезд узких специалистов терапевтических и </w:t>
      </w:r>
      <w:r w:rsidRPr="007B43FD">
        <w:rPr>
          <w:rFonts w:ascii="Times New Roman" w:eastAsia="Times New Roman" w:hAnsi="Times New Roman" w:cs="Times New Roman"/>
          <w:bCs/>
          <w:color w:val="000000"/>
          <w:sz w:val="28"/>
          <w:szCs w:val="28"/>
          <w:lang w:eastAsia="ru-RU"/>
        </w:rPr>
        <w:lastRenderedPageBreak/>
        <w:t xml:space="preserve">педиатрических профилей с привлечением медицинских работников участковых больниц. Проводятся углубленные медицинские осмотры детей в школе и медицинские осмотры населения села, флюорографические обследования. Таким образом, лечебно-профилактической помощью охвачено все население Азейского сельского поселения. В 2024 году из средств от платных медицинских услуг проведена экспертиза технического состояния здания фельдшерско-акушерского пункта в с.Азей, по результатам которой здание ФАП с.Азей признано аварийным. По оценке 2025 года и в перспективе на 2026-2028 гг.  есть необходимость в строительстве нового здания ФАП на территории Азейского сельского поселения. Земельный участок под строительство имеется.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10. Культура и спорт</w:t>
      </w: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       Сеть культурно-досуговых учреждений поселения представлена одним муниципальным казённым учреждением культуры «Культурно-досуговый центр с.Азей» вместимостью 250 человек, общей площадью 415 кв.м., в структуру которого входит одна библиотека. На базе учреждения стабильно функционируют 15 клубных формирований различной направленности, ориентированных на разные возрастные категории населения. Из общего числа клубных формирований:</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три коллектива имеют хореографическое направление деятельности (хореографический коллектив «Искорки», хореографический коллектив «Солнечные лучики», хореографический коллектив «Пламя»);</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три коллектива имеют вокальное направление деятельности (вокальный ансамбль «Капельки», вокальный ансамбль «Радуга», народный вокальный ансамбль «Сударушка»);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два коллектива театрального жанра творчества (театральный коллектив «Калейдоскоп», театральный коллектив «Балагуры»);</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w:t>
      </w:r>
      <w:r w:rsidRPr="007B43FD">
        <w:rPr>
          <w:rFonts w:ascii="Times New Roman" w:eastAsia="Times New Roman" w:hAnsi="Times New Roman" w:cs="Times New Roman"/>
          <w:bCs/>
          <w:color w:val="000000"/>
          <w:sz w:val="28"/>
          <w:szCs w:val="28"/>
          <w:lang w:eastAsia="ru-RU"/>
        </w:rPr>
        <w:tab/>
        <w:t>один кружок декоративно-прикладного искусства «Оч. Умелые ручки» для детей в возрасте от 7 до 12 лет.</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В МКУК «КДЦ с. Азей» осуществляют активную деятельность три любительских объединения (клуб «Золотой возраст», Детская общественная организация «Истоки», кружок «Юные книголюбы»), а также спортивные кружки «Настольные игры», «</w:t>
      </w:r>
      <w:proofErr w:type="spellStart"/>
      <w:r w:rsidRPr="007B43FD">
        <w:rPr>
          <w:rFonts w:ascii="Times New Roman" w:eastAsia="Times New Roman" w:hAnsi="Times New Roman" w:cs="Times New Roman"/>
          <w:bCs/>
          <w:color w:val="000000"/>
          <w:sz w:val="28"/>
          <w:szCs w:val="28"/>
          <w:lang w:eastAsia="ru-RU"/>
        </w:rPr>
        <w:t>Полиатлон</w:t>
      </w:r>
      <w:proofErr w:type="spellEnd"/>
      <w:r w:rsidRPr="007B43FD">
        <w:rPr>
          <w:rFonts w:ascii="Times New Roman" w:eastAsia="Times New Roman" w:hAnsi="Times New Roman" w:cs="Times New Roman"/>
          <w:bCs/>
          <w:color w:val="000000"/>
          <w:sz w:val="28"/>
          <w:szCs w:val="28"/>
          <w:lang w:eastAsia="ru-RU"/>
        </w:rPr>
        <w:t xml:space="preserve">», «Спортивные </w:t>
      </w:r>
      <w:proofErr w:type="spellStart"/>
      <w:r w:rsidRPr="007B43FD">
        <w:rPr>
          <w:rFonts w:ascii="Times New Roman" w:eastAsia="Times New Roman" w:hAnsi="Times New Roman" w:cs="Times New Roman"/>
          <w:bCs/>
          <w:color w:val="000000"/>
          <w:sz w:val="28"/>
          <w:szCs w:val="28"/>
          <w:lang w:eastAsia="ru-RU"/>
        </w:rPr>
        <w:t>игры</w:t>
      </w:r>
      <w:proofErr w:type="gramStart"/>
      <w:r w:rsidRPr="007B43FD">
        <w:rPr>
          <w:rFonts w:ascii="Times New Roman" w:eastAsia="Times New Roman" w:hAnsi="Times New Roman" w:cs="Times New Roman"/>
          <w:bCs/>
          <w:color w:val="000000"/>
          <w:sz w:val="28"/>
          <w:szCs w:val="28"/>
          <w:lang w:eastAsia="ru-RU"/>
        </w:rPr>
        <w:t>».Для</w:t>
      </w:r>
      <w:proofErr w:type="spellEnd"/>
      <w:proofErr w:type="gramEnd"/>
      <w:r w:rsidRPr="007B43FD">
        <w:rPr>
          <w:rFonts w:ascii="Times New Roman" w:eastAsia="Times New Roman" w:hAnsi="Times New Roman" w:cs="Times New Roman"/>
          <w:bCs/>
          <w:color w:val="000000"/>
          <w:sz w:val="28"/>
          <w:szCs w:val="28"/>
          <w:lang w:eastAsia="ru-RU"/>
        </w:rPr>
        <w:t xml:space="preserve"> детей до 14 лет организована работа 11 клубных формирований, число участников в них – 121 человек.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рамках Года педагога и наставника прошла творческая мастерская для людей старшей возрастной категории «В гостях у мастера». Состоялась поздравительная акция «Учитель – верный спутник детства», во время которой члены детской общественной организации «Истоки» (филиал </w:t>
      </w:r>
      <w:proofErr w:type="spellStart"/>
      <w:r w:rsidRPr="007B43FD">
        <w:rPr>
          <w:rFonts w:ascii="Times New Roman" w:eastAsia="Times New Roman" w:hAnsi="Times New Roman" w:cs="Times New Roman"/>
          <w:bCs/>
          <w:color w:val="000000"/>
          <w:sz w:val="28"/>
          <w:szCs w:val="28"/>
          <w:lang w:eastAsia="ru-RU"/>
        </w:rPr>
        <w:t>МиДОО</w:t>
      </w:r>
      <w:proofErr w:type="spellEnd"/>
      <w:r w:rsidRPr="007B43FD">
        <w:rPr>
          <w:rFonts w:ascii="Times New Roman" w:eastAsia="Times New Roman" w:hAnsi="Times New Roman" w:cs="Times New Roman"/>
          <w:bCs/>
          <w:color w:val="000000"/>
          <w:sz w:val="28"/>
          <w:szCs w:val="28"/>
          <w:lang w:eastAsia="ru-RU"/>
        </w:rPr>
        <w:t xml:space="preserve"> «СПЕКТР») и творческие работники учреждения культуры села Азей поздравили педагогический коллектив Азейской средней общеобразовательной школы с профессиональным праздником – Днем учителя.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80-летию разгрома советскими войсками немецко-фашистских войск в Сталинградской битве был посвящен исторический видео-час «Сталинград – 200 дней мужества» и информационно-просветительская программа «Приклонись сердцу и мужеству».</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рамках 200-летия со дня рождения А.Н. Островского на базе учреждения культуры была проведена тематическая викторина «Колумб Замоскворечья», литературная гостиная «А.Н. Островский – человек легенда» и литературный час к 150-летнему юбилею его книги – «Снегурочка».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2023 </w:t>
      </w:r>
      <w:proofErr w:type="gramStart"/>
      <w:r w:rsidRPr="007B43FD">
        <w:rPr>
          <w:rFonts w:ascii="Times New Roman" w:eastAsia="Times New Roman" w:hAnsi="Times New Roman" w:cs="Times New Roman"/>
          <w:bCs/>
          <w:color w:val="000000"/>
          <w:sz w:val="28"/>
          <w:szCs w:val="28"/>
          <w:lang w:eastAsia="ru-RU"/>
        </w:rPr>
        <w:t>году  МКУК</w:t>
      </w:r>
      <w:proofErr w:type="gramEnd"/>
      <w:r w:rsidRPr="007B43FD">
        <w:rPr>
          <w:rFonts w:ascii="Times New Roman" w:eastAsia="Times New Roman" w:hAnsi="Times New Roman" w:cs="Times New Roman"/>
          <w:bCs/>
          <w:color w:val="000000"/>
          <w:sz w:val="28"/>
          <w:szCs w:val="28"/>
          <w:lang w:eastAsia="ru-RU"/>
        </w:rPr>
        <w:t xml:space="preserve"> «КДЦ с. Азей» участвовал в реализации Межведомственного проекта «Культура для школьников», который реализуется совместно Министерством культуры Российской Федерации и Министерством просвещения Российской Федерации. Проект направлен на духовное, эстетическое и художественное развитие школьников, повышение культурной грамотности подрастающего поколения.  В рамках проекта были организованы и проведены 18 мероприятий, таких как «Поэтические голоса столетий» (литературная </w:t>
      </w:r>
      <w:proofErr w:type="spellStart"/>
      <w:r w:rsidRPr="007B43FD">
        <w:rPr>
          <w:rFonts w:ascii="Times New Roman" w:eastAsia="Times New Roman" w:hAnsi="Times New Roman" w:cs="Times New Roman"/>
          <w:bCs/>
          <w:color w:val="000000"/>
          <w:sz w:val="28"/>
          <w:szCs w:val="28"/>
          <w:lang w:eastAsia="ru-RU"/>
        </w:rPr>
        <w:t>гостинная</w:t>
      </w:r>
      <w:proofErr w:type="spellEnd"/>
      <w:r w:rsidRPr="007B43FD">
        <w:rPr>
          <w:rFonts w:ascii="Times New Roman" w:eastAsia="Times New Roman" w:hAnsi="Times New Roman" w:cs="Times New Roman"/>
          <w:bCs/>
          <w:color w:val="000000"/>
          <w:sz w:val="28"/>
          <w:szCs w:val="28"/>
          <w:lang w:eastAsia="ru-RU"/>
        </w:rPr>
        <w:t xml:space="preserve">), «На Ивана Купала» (фольклорный вечер), «Культурный марафон» (ежегодная культурно-просветительская акция), наиболее широкий отклик от участников получила </w:t>
      </w:r>
      <w:proofErr w:type="spellStart"/>
      <w:r w:rsidRPr="007B43FD">
        <w:rPr>
          <w:rFonts w:ascii="Times New Roman" w:eastAsia="Times New Roman" w:hAnsi="Times New Roman" w:cs="Times New Roman"/>
          <w:bCs/>
          <w:color w:val="000000"/>
          <w:sz w:val="28"/>
          <w:szCs w:val="28"/>
          <w:lang w:eastAsia="ru-RU"/>
        </w:rPr>
        <w:t>квест</w:t>
      </w:r>
      <w:proofErr w:type="spellEnd"/>
      <w:r w:rsidRPr="007B43FD">
        <w:rPr>
          <w:rFonts w:ascii="Times New Roman" w:eastAsia="Times New Roman" w:hAnsi="Times New Roman" w:cs="Times New Roman"/>
          <w:bCs/>
          <w:color w:val="000000"/>
          <w:sz w:val="28"/>
          <w:szCs w:val="28"/>
          <w:lang w:eastAsia="ru-RU"/>
        </w:rPr>
        <w:t xml:space="preserve">-игра «Юный бюрократ» и т.д.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отчетном году было проведено 306 культурно-досуговых мероприятий. План мероприятий на бесплатной основе в 2023 году выполнен на 100%. Объем доходов от приносящей доход деятельности в 2023 году составил 67 тыс. руб. Число клубных формирований в 2023 году не изменилось. Численный состав участников клубных формирований остается стабильным, по сравнению с 2022 годом прирост составил (2 чел.). За счет средств проекта «Народные инициативы» была приобретена спортивная площадка: 371,1 </w:t>
      </w:r>
      <w:proofErr w:type="spellStart"/>
      <w:r w:rsidRPr="007B43FD">
        <w:rPr>
          <w:rFonts w:ascii="Times New Roman" w:eastAsia="Times New Roman" w:hAnsi="Times New Roman" w:cs="Times New Roman"/>
          <w:bCs/>
          <w:color w:val="000000"/>
          <w:sz w:val="28"/>
          <w:szCs w:val="28"/>
          <w:lang w:eastAsia="ru-RU"/>
        </w:rPr>
        <w:t>тыс.руб</w:t>
      </w:r>
      <w:proofErr w:type="spellEnd"/>
      <w:r w:rsidRPr="007B43FD">
        <w:rPr>
          <w:rFonts w:ascii="Times New Roman" w:eastAsia="Times New Roman" w:hAnsi="Times New Roman" w:cs="Times New Roman"/>
          <w:bCs/>
          <w:color w:val="000000"/>
          <w:sz w:val="28"/>
          <w:szCs w:val="28"/>
          <w:lang w:eastAsia="ru-RU"/>
        </w:rPr>
        <w:t xml:space="preserve">. Осуществлялись работы по благоустройству прилегающей территории.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В связи с отсутствием спортивного зала в здании МОУ «Азейская СОШ» физическая культура для учеников проводится в здании физкультурно-оздоровительного комплекса.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По оценке 2025 года и в перспективе на 2026-2028 гг. планируется продолжить приобретение спортивного оборудования и инвентаря для оснащения </w:t>
      </w:r>
      <w:proofErr w:type="spellStart"/>
      <w:r w:rsidRPr="007B43FD">
        <w:rPr>
          <w:rFonts w:ascii="Times New Roman" w:eastAsia="Times New Roman" w:hAnsi="Times New Roman" w:cs="Times New Roman"/>
          <w:bCs/>
          <w:color w:val="000000"/>
          <w:sz w:val="28"/>
          <w:szCs w:val="28"/>
          <w:lang w:eastAsia="ru-RU"/>
        </w:rPr>
        <w:t>ФОКа</w:t>
      </w:r>
      <w:proofErr w:type="spellEnd"/>
      <w:r w:rsidRPr="007B43FD">
        <w:rPr>
          <w:rFonts w:ascii="Times New Roman" w:eastAsia="Times New Roman" w:hAnsi="Times New Roman" w:cs="Times New Roman"/>
          <w:bCs/>
          <w:color w:val="000000"/>
          <w:sz w:val="28"/>
          <w:szCs w:val="28"/>
          <w:lang w:eastAsia="ru-RU"/>
        </w:rPr>
        <w:t xml:space="preserve"> в с.Азей, а также дальнейшее проведение районных спортивных мероприятий.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11. Бюджет сельского поселения</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Исполнение доходной части бюджета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Бюджет Азейского муниципального образования по доходам за 2024 год исполнен в сумме 14 893,0 тыс. руб. План доходов на 2024 год, утверждённый в сумме 14 851,1 тыс. руб., выполнен на 100,3%. (Приложение №1)</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Бюджет Азейского муниципального образования по собственным доходным источникам за 2024 год исполнен в сумме 6 604,6 тыс. руб. План собственных доходов на 2024 год, утверждённый в сумме 6 562,7 тыс. руб., выполнен на 100,6%.</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На 2024 год в бюджете Азейского муниципального образования запланированы следующие источники собственных доходов:                                                                                                                                                          </w:t>
      </w:r>
    </w:p>
    <w:p w:rsidR="007B43FD" w:rsidRPr="007B43FD" w:rsidRDefault="007B43FD" w:rsidP="007B43FD">
      <w:pPr>
        <w:ind w:firstLine="709"/>
        <w:jc w:val="right"/>
        <w:rPr>
          <w:rFonts w:ascii="Times New Roman" w:eastAsia="Times New Roman" w:hAnsi="Times New Roman" w:cs="Times New Roman"/>
          <w:bCs/>
          <w:color w:val="000000"/>
          <w:sz w:val="24"/>
          <w:szCs w:val="28"/>
          <w:lang w:eastAsia="ru-RU"/>
        </w:rPr>
      </w:pPr>
      <w:r w:rsidRPr="007B43FD">
        <w:rPr>
          <w:rFonts w:ascii="Times New Roman" w:eastAsia="Times New Roman" w:hAnsi="Times New Roman" w:cs="Times New Roman"/>
          <w:bCs/>
          <w:color w:val="000000"/>
          <w:sz w:val="24"/>
          <w:szCs w:val="28"/>
          <w:lang w:eastAsia="ru-RU"/>
        </w:rPr>
        <w:t xml:space="preserve">тыс. руб.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1697"/>
        <w:gridCol w:w="1605"/>
        <w:gridCol w:w="1623"/>
        <w:gridCol w:w="1510"/>
      </w:tblGrid>
      <w:tr w:rsidR="007B43FD" w:rsidRPr="004A4476" w:rsidTr="007B43FD">
        <w:trPr>
          <w:trHeight w:val="234"/>
        </w:trPr>
        <w:tc>
          <w:tcPr>
            <w:tcW w:w="3227" w:type="dxa"/>
            <w:tcBorders>
              <w:top w:val="single" w:sz="4" w:space="0" w:color="auto"/>
              <w:left w:val="single" w:sz="4" w:space="0" w:color="auto"/>
              <w:bottom w:val="single" w:sz="4" w:space="0" w:color="auto"/>
              <w:right w:val="single" w:sz="4" w:space="0" w:color="auto"/>
            </w:tcBorders>
            <w:hideMark/>
          </w:tcPr>
          <w:p w:rsidR="007B43FD" w:rsidRPr="007B43FD" w:rsidRDefault="007B43FD" w:rsidP="00AB139D">
            <w:pPr>
              <w:jc w:val="center"/>
              <w:rPr>
                <w:rFonts w:ascii="Times New Roman" w:hAnsi="Times New Roman" w:cs="Times New Roman"/>
                <w:b/>
                <w:color w:val="000000"/>
                <w:sz w:val="20"/>
              </w:rPr>
            </w:pPr>
            <w:r w:rsidRPr="007B43FD">
              <w:rPr>
                <w:rFonts w:ascii="Times New Roman" w:hAnsi="Times New Roman" w:cs="Times New Roman"/>
                <w:b/>
                <w:color w:val="000000"/>
                <w:sz w:val="20"/>
              </w:rPr>
              <w:t>Вид дохода</w:t>
            </w:r>
          </w:p>
        </w:tc>
        <w:tc>
          <w:tcPr>
            <w:tcW w:w="1712" w:type="dxa"/>
            <w:tcBorders>
              <w:top w:val="single" w:sz="4" w:space="0" w:color="auto"/>
              <w:left w:val="single" w:sz="4" w:space="0" w:color="auto"/>
              <w:bottom w:val="single" w:sz="4" w:space="0" w:color="auto"/>
              <w:right w:val="single" w:sz="4" w:space="0" w:color="auto"/>
            </w:tcBorders>
            <w:hideMark/>
          </w:tcPr>
          <w:p w:rsidR="007B43FD" w:rsidRPr="007B43FD" w:rsidRDefault="007B43FD" w:rsidP="00AB139D">
            <w:pPr>
              <w:jc w:val="center"/>
              <w:rPr>
                <w:rFonts w:ascii="Times New Roman" w:hAnsi="Times New Roman" w:cs="Times New Roman"/>
                <w:b/>
                <w:color w:val="000000"/>
                <w:sz w:val="20"/>
              </w:rPr>
            </w:pPr>
            <w:r w:rsidRPr="007B43FD">
              <w:rPr>
                <w:rFonts w:ascii="Times New Roman" w:hAnsi="Times New Roman" w:cs="Times New Roman"/>
                <w:b/>
                <w:color w:val="000000"/>
                <w:sz w:val="20"/>
              </w:rPr>
              <w:t>План 2024 г</w:t>
            </w:r>
          </w:p>
        </w:tc>
        <w:tc>
          <w:tcPr>
            <w:tcW w:w="1605" w:type="dxa"/>
            <w:tcBorders>
              <w:top w:val="single" w:sz="4" w:space="0" w:color="auto"/>
              <w:left w:val="single" w:sz="4" w:space="0" w:color="auto"/>
              <w:bottom w:val="single" w:sz="4" w:space="0" w:color="auto"/>
              <w:right w:val="single" w:sz="4" w:space="0" w:color="auto"/>
            </w:tcBorders>
            <w:hideMark/>
          </w:tcPr>
          <w:p w:rsidR="007B43FD" w:rsidRPr="007B43FD" w:rsidRDefault="007B43FD" w:rsidP="00AB139D">
            <w:pPr>
              <w:jc w:val="both"/>
              <w:rPr>
                <w:rFonts w:ascii="Times New Roman" w:hAnsi="Times New Roman" w:cs="Times New Roman"/>
                <w:b/>
                <w:color w:val="000000"/>
                <w:sz w:val="20"/>
              </w:rPr>
            </w:pPr>
            <w:r w:rsidRPr="007B43FD">
              <w:rPr>
                <w:rFonts w:ascii="Times New Roman" w:hAnsi="Times New Roman" w:cs="Times New Roman"/>
                <w:b/>
                <w:color w:val="000000"/>
                <w:sz w:val="20"/>
              </w:rPr>
              <w:t xml:space="preserve">   Исполнено</w:t>
            </w:r>
          </w:p>
        </w:tc>
        <w:tc>
          <w:tcPr>
            <w:tcW w:w="1644" w:type="dxa"/>
            <w:tcBorders>
              <w:top w:val="single" w:sz="4" w:space="0" w:color="auto"/>
              <w:left w:val="single" w:sz="4" w:space="0" w:color="auto"/>
              <w:bottom w:val="single" w:sz="4" w:space="0" w:color="auto"/>
              <w:right w:val="single" w:sz="4" w:space="0" w:color="auto"/>
            </w:tcBorders>
            <w:hideMark/>
          </w:tcPr>
          <w:p w:rsidR="007B43FD" w:rsidRPr="007B43FD" w:rsidRDefault="007B43FD" w:rsidP="007B43FD">
            <w:pPr>
              <w:ind w:right="-57" w:hanging="42"/>
              <w:jc w:val="center"/>
              <w:rPr>
                <w:rFonts w:ascii="Times New Roman" w:hAnsi="Times New Roman" w:cs="Times New Roman"/>
                <w:b/>
                <w:color w:val="000000"/>
                <w:sz w:val="20"/>
              </w:rPr>
            </w:pPr>
            <w:r w:rsidRPr="007B43FD">
              <w:rPr>
                <w:rFonts w:ascii="Times New Roman" w:hAnsi="Times New Roman" w:cs="Times New Roman"/>
                <w:b/>
                <w:color w:val="000000"/>
                <w:sz w:val="20"/>
              </w:rPr>
              <w:t>% выполнения</w:t>
            </w:r>
          </w:p>
        </w:tc>
        <w:tc>
          <w:tcPr>
            <w:tcW w:w="1276" w:type="dxa"/>
            <w:tcBorders>
              <w:top w:val="single" w:sz="4" w:space="0" w:color="auto"/>
              <w:left w:val="single" w:sz="4" w:space="0" w:color="auto"/>
              <w:bottom w:val="single" w:sz="4" w:space="0" w:color="auto"/>
              <w:right w:val="single" w:sz="4" w:space="0" w:color="auto"/>
            </w:tcBorders>
            <w:hideMark/>
          </w:tcPr>
          <w:p w:rsidR="007B43FD" w:rsidRPr="007B43FD" w:rsidRDefault="007B43FD" w:rsidP="00AB139D">
            <w:pPr>
              <w:jc w:val="center"/>
              <w:rPr>
                <w:rFonts w:ascii="Times New Roman" w:hAnsi="Times New Roman" w:cs="Times New Roman"/>
                <w:b/>
                <w:color w:val="000000"/>
                <w:sz w:val="20"/>
              </w:rPr>
            </w:pPr>
            <w:r w:rsidRPr="007B43FD">
              <w:rPr>
                <w:rFonts w:ascii="Times New Roman" w:hAnsi="Times New Roman" w:cs="Times New Roman"/>
                <w:b/>
                <w:color w:val="000000"/>
                <w:sz w:val="20"/>
              </w:rPr>
              <w:t>Отклонение</w:t>
            </w:r>
          </w:p>
        </w:tc>
      </w:tr>
      <w:tr w:rsidR="007B43FD" w:rsidRPr="004A4476" w:rsidTr="007B43FD">
        <w:trPr>
          <w:trHeight w:val="269"/>
        </w:trPr>
        <w:tc>
          <w:tcPr>
            <w:tcW w:w="3227"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outlineLvl w:val="0"/>
              <w:rPr>
                <w:rFonts w:ascii="Times New Roman" w:hAnsi="Times New Roman" w:cs="Times New Roman"/>
                <w:color w:val="000000"/>
              </w:rPr>
            </w:pPr>
            <w:r w:rsidRPr="007B43FD">
              <w:rPr>
                <w:rFonts w:ascii="Times New Roman" w:hAnsi="Times New Roman" w:cs="Times New Roman"/>
                <w:color w:val="000000"/>
              </w:rPr>
              <w:t>Налог на доходы физических лиц</w:t>
            </w:r>
          </w:p>
        </w:tc>
        <w:tc>
          <w:tcPr>
            <w:tcW w:w="1712"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4649,7</w:t>
            </w:r>
          </w:p>
        </w:tc>
        <w:tc>
          <w:tcPr>
            <w:tcW w:w="1605"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4680,0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100,7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+30,3</w:t>
            </w:r>
          </w:p>
        </w:tc>
      </w:tr>
      <w:tr w:rsidR="007B43FD" w:rsidRPr="004A4476" w:rsidTr="007B43FD">
        <w:trPr>
          <w:trHeight w:val="542"/>
        </w:trPr>
        <w:tc>
          <w:tcPr>
            <w:tcW w:w="3227"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outlineLvl w:val="0"/>
              <w:rPr>
                <w:rFonts w:ascii="Times New Roman" w:hAnsi="Times New Roman" w:cs="Times New Roman"/>
                <w:color w:val="000000"/>
              </w:rPr>
            </w:pPr>
            <w:r w:rsidRPr="007B43FD">
              <w:rPr>
                <w:rFonts w:ascii="Times New Roman" w:hAnsi="Times New Roman" w:cs="Times New Roman"/>
                <w:color w:val="000000"/>
              </w:rPr>
              <w:t>Налог на имущество физических лиц</w:t>
            </w:r>
          </w:p>
        </w:tc>
        <w:tc>
          <w:tcPr>
            <w:tcW w:w="1712"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217,0</w:t>
            </w:r>
          </w:p>
        </w:tc>
        <w:tc>
          <w:tcPr>
            <w:tcW w:w="1605"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213,3</w:t>
            </w:r>
          </w:p>
        </w:tc>
        <w:tc>
          <w:tcPr>
            <w:tcW w:w="1644"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98,3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67" w:right="109"/>
              <w:jc w:val="center"/>
              <w:rPr>
                <w:rFonts w:ascii="Times New Roman" w:hAnsi="Times New Roman" w:cs="Times New Roman"/>
                <w:szCs w:val="20"/>
              </w:rPr>
            </w:pPr>
            <w:r w:rsidRPr="007B43FD">
              <w:rPr>
                <w:rFonts w:ascii="Times New Roman" w:hAnsi="Times New Roman" w:cs="Times New Roman"/>
                <w:szCs w:val="20"/>
              </w:rPr>
              <w:t>-3,7</w:t>
            </w:r>
          </w:p>
        </w:tc>
      </w:tr>
      <w:tr w:rsidR="007B43FD" w:rsidRPr="004A4476" w:rsidTr="007B43FD">
        <w:trPr>
          <w:trHeight w:val="269"/>
        </w:trPr>
        <w:tc>
          <w:tcPr>
            <w:tcW w:w="3227"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outlineLvl w:val="0"/>
              <w:rPr>
                <w:rFonts w:ascii="Times New Roman" w:hAnsi="Times New Roman" w:cs="Times New Roman"/>
                <w:color w:val="000000"/>
              </w:rPr>
            </w:pPr>
            <w:r w:rsidRPr="007B43FD">
              <w:rPr>
                <w:rFonts w:ascii="Times New Roman" w:hAnsi="Times New Roman" w:cs="Times New Roman"/>
                <w:color w:val="000000"/>
              </w:rPr>
              <w:t>Земельный налог</w:t>
            </w:r>
          </w:p>
        </w:tc>
        <w:tc>
          <w:tcPr>
            <w:tcW w:w="1712"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585,0</w:t>
            </w:r>
          </w:p>
        </w:tc>
        <w:tc>
          <w:tcPr>
            <w:tcW w:w="1605"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587,6</w:t>
            </w:r>
          </w:p>
        </w:tc>
        <w:tc>
          <w:tcPr>
            <w:tcW w:w="1644"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100,4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+2,6</w:t>
            </w:r>
          </w:p>
        </w:tc>
      </w:tr>
      <w:tr w:rsidR="007B43FD" w:rsidRPr="004A4476" w:rsidTr="007B43FD">
        <w:trPr>
          <w:trHeight w:val="269"/>
        </w:trPr>
        <w:tc>
          <w:tcPr>
            <w:tcW w:w="3227"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outlineLvl w:val="0"/>
              <w:rPr>
                <w:rFonts w:ascii="Times New Roman" w:hAnsi="Times New Roman" w:cs="Times New Roman"/>
                <w:color w:val="000000"/>
              </w:rPr>
            </w:pPr>
            <w:r w:rsidRPr="007B43FD">
              <w:rPr>
                <w:rFonts w:ascii="Times New Roman" w:hAnsi="Times New Roman" w:cs="Times New Roman"/>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12"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2,7</w:t>
            </w:r>
          </w:p>
        </w:tc>
        <w:tc>
          <w:tcPr>
            <w:tcW w:w="1605"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2,9</w:t>
            </w:r>
          </w:p>
        </w:tc>
        <w:tc>
          <w:tcPr>
            <w:tcW w:w="1644"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107,4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+0,2</w:t>
            </w:r>
          </w:p>
        </w:tc>
      </w:tr>
      <w:tr w:rsidR="007B43FD" w:rsidRPr="004A4476" w:rsidTr="007B43FD">
        <w:trPr>
          <w:trHeight w:val="540"/>
        </w:trPr>
        <w:tc>
          <w:tcPr>
            <w:tcW w:w="3227"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outlineLvl w:val="0"/>
              <w:rPr>
                <w:rFonts w:ascii="Times New Roman" w:hAnsi="Times New Roman" w:cs="Times New Roman"/>
                <w:color w:val="000000"/>
              </w:rPr>
            </w:pPr>
            <w:r w:rsidRPr="007B43FD">
              <w:rPr>
                <w:rFonts w:ascii="Times New Roman" w:hAnsi="Times New Roman" w:cs="Times New Roman"/>
                <w:color w:val="000000"/>
              </w:rPr>
              <w:t>Доходы от оказания платных услуг (работ)</w:t>
            </w:r>
          </w:p>
        </w:tc>
        <w:tc>
          <w:tcPr>
            <w:tcW w:w="1712"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45,0</w:t>
            </w:r>
          </w:p>
        </w:tc>
        <w:tc>
          <w:tcPr>
            <w:tcW w:w="1605"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45,5</w:t>
            </w:r>
          </w:p>
        </w:tc>
        <w:tc>
          <w:tcPr>
            <w:tcW w:w="1644"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101,1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43FD" w:rsidRPr="007B43FD" w:rsidRDefault="007B43FD" w:rsidP="00AB139D">
            <w:pPr>
              <w:ind w:left="567" w:right="424" w:hanging="207"/>
              <w:jc w:val="center"/>
              <w:rPr>
                <w:rFonts w:ascii="Times New Roman" w:hAnsi="Times New Roman" w:cs="Times New Roman"/>
                <w:szCs w:val="20"/>
              </w:rPr>
            </w:pPr>
            <w:r w:rsidRPr="007B43FD">
              <w:rPr>
                <w:rFonts w:ascii="Times New Roman" w:hAnsi="Times New Roman" w:cs="Times New Roman"/>
                <w:szCs w:val="20"/>
              </w:rPr>
              <w:t>+0,5</w:t>
            </w:r>
          </w:p>
        </w:tc>
      </w:tr>
    </w:tbl>
    <w:p w:rsid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Основным доходным источником бюджета Азейского муниципального образования за 2024 год является налог на доходы физических лиц. Удельный вес поступления налога на доходы физических лиц в общем поступлении собственных доходов составляет 70,9 %. </w:t>
      </w:r>
    </w:p>
    <w:p w:rsid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Доходы от уплаты акцизов второй по значимости доходный источник. Удельный вес поступления доходов от уплаты акцизов составляет 14,4 % в общей сумме собств</w:t>
      </w:r>
      <w:r>
        <w:rPr>
          <w:rFonts w:ascii="Times New Roman" w:eastAsia="Times New Roman" w:hAnsi="Times New Roman" w:cs="Times New Roman"/>
          <w:bCs/>
          <w:color w:val="000000"/>
          <w:sz w:val="28"/>
          <w:szCs w:val="28"/>
          <w:lang w:eastAsia="ru-RU"/>
        </w:rPr>
        <w:t>енных доходов.</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Удельный вес поступления земельного налога составляет 8,9 % в общей сумме собственных доходов.</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Удельный вес прочих поступлений составляет 5,8 % в общей сумме собственных доходов.</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7B43FD">
        <w:rPr>
          <w:rFonts w:ascii="Times New Roman" w:eastAsia="Times New Roman" w:hAnsi="Times New Roman" w:cs="Times New Roman"/>
          <w:bCs/>
          <w:color w:val="000000"/>
          <w:sz w:val="28"/>
          <w:szCs w:val="28"/>
          <w:lang w:eastAsia="ru-RU"/>
        </w:rPr>
        <w:t>План по налоговым и неналоговым доходам перевыполнен в результате поступления платежей после уточнения бюджета сельского поселения в декабре 2024 года.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7B43FD">
        <w:rPr>
          <w:rFonts w:ascii="Times New Roman" w:eastAsia="Times New Roman" w:hAnsi="Times New Roman" w:cs="Times New Roman"/>
          <w:bCs/>
          <w:color w:val="000000"/>
          <w:sz w:val="28"/>
          <w:szCs w:val="28"/>
          <w:lang w:eastAsia="ru-RU"/>
        </w:rPr>
        <w:t>Снижение перечислений по налогу на имущество физических лиц на -3,7 тыс. руб. связано с несвоевременной оплатой налога населением.</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Недоимка по платежам в бюджет Азейского муниципального образования составляет:                                                                                                                                           </w:t>
      </w:r>
    </w:p>
    <w:p w:rsidR="007B43FD" w:rsidRDefault="007B43FD" w:rsidP="007B43FD">
      <w:pPr>
        <w:ind w:firstLine="709"/>
        <w:jc w:val="right"/>
        <w:rPr>
          <w:rFonts w:ascii="Times New Roman" w:eastAsia="Times New Roman" w:hAnsi="Times New Roman" w:cs="Times New Roman"/>
          <w:bCs/>
          <w:color w:val="000000"/>
          <w:sz w:val="24"/>
          <w:szCs w:val="28"/>
          <w:lang w:eastAsia="ru-RU"/>
        </w:rPr>
      </w:pPr>
      <w:r w:rsidRPr="007B43FD">
        <w:rPr>
          <w:rFonts w:ascii="Times New Roman" w:eastAsia="Times New Roman" w:hAnsi="Times New Roman" w:cs="Times New Roman"/>
          <w:bCs/>
          <w:color w:val="000000"/>
          <w:sz w:val="28"/>
          <w:szCs w:val="28"/>
          <w:lang w:eastAsia="ru-RU"/>
        </w:rPr>
        <w:t xml:space="preserve">                                                                                                            </w:t>
      </w:r>
      <w:r w:rsidRPr="007B43FD">
        <w:rPr>
          <w:rFonts w:ascii="Times New Roman" w:eastAsia="Times New Roman" w:hAnsi="Times New Roman" w:cs="Times New Roman"/>
          <w:bCs/>
          <w:color w:val="000000"/>
          <w:sz w:val="24"/>
          <w:szCs w:val="28"/>
          <w:lang w:eastAsia="ru-RU"/>
        </w:rPr>
        <w:t>тыс. руб.</w:t>
      </w:r>
    </w:p>
    <w:tbl>
      <w:tblPr>
        <w:tblW w:w="9214" w:type="dxa"/>
        <w:tblInd w:w="250" w:type="dxa"/>
        <w:tblLook w:val="04A0" w:firstRow="1" w:lastRow="0" w:firstColumn="1" w:lastColumn="0" w:noHBand="0" w:noVBand="1"/>
      </w:tblPr>
      <w:tblGrid>
        <w:gridCol w:w="3827"/>
        <w:gridCol w:w="1909"/>
        <w:gridCol w:w="1777"/>
        <w:gridCol w:w="1701"/>
      </w:tblGrid>
      <w:tr w:rsidR="007B43FD" w:rsidRPr="004A4476" w:rsidTr="007B43FD">
        <w:trPr>
          <w:trHeight w:val="255"/>
        </w:trPr>
        <w:tc>
          <w:tcPr>
            <w:tcW w:w="3827" w:type="dxa"/>
            <w:tcBorders>
              <w:top w:val="single" w:sz="4" w:space="0" w:color="auto"/>
              <w:left w:val="single" w:sz="4" w:space="0" w:color="auto"/>
              <w:bottom w:val="single" w:sz="4" w:space="0" w:color="auto"/>
              <w:right w:val="single" w:sz="4" w:space="0" w:color="auto"/>
            </w:tcBorders>
            <w:noWrap/>
            <w:vAlign w:val="bottom"/>
            <w:hideMark/>
          </w:tcPr>
          <w:p w:rsidR="007B43FD" w:rsidRPr="007B43FD" w:rsidRDefault="007B43FD" w:rsidP="00AB139D">
            <w:pPr>
              <w:ind w:left="52"/>
              <w:jc w:val="center"/>
              <w:rPr>
                <w:rFonts w:ascii="Times New Roman" w:hAnsi="Times New Roman" w:cs="Times New Roman"/>
                <w:b/>
                <w:bCs/>
                <w:color w:val="000000"/>
              </w:rPr>
            </w:pPr>
            <w:r w:rsidRPr="007B43FD">
              <w:rPr>
                <w:rFonts w:ascii="Times New Roman" w:hAnsi="Times New Roman" w:cs="Times New Roman"/>
                <w:b/>
                <w:bCs/>
                <w:color w:val="000000"/>
              </w:rPr>
              <w:t>Наименование</w:t>
            </w:r>
          </w:p>
        </w:tc>
        <w:tc>
          <w:tcPr>
            <w:tcW w:w="1909" w:type="dxa"/>
            <w:tcBorders>
              <w:top w:val="single" w:sz="4" w:space="0" w:color="auto"/>
              <w:left w:val="nil"/>
              <w:bottom w:val="single" w:sz="4" w:space="0" w:color="auto"/>
              <w:right w:val="nil"/>
            </w:tcBorders>
            <w:hideMark/>
          </w:tcPr>
          <w:p w:rsidR="007B43FD" w:rsidRPr="007B43FD" w:rsidRDefault="007B43FD" w:rsidP="00AB139D">
            <w:pPr>
              <w:ind w:left="32"/>
              <w:jc w:val="center"/>
              <w:rPr>
                <w:rFonts w:ascii="Times New Roman" w:hAnsi="Times New Roman" w:cs="Times New Roman"/>
                <w:b/>
                <w:color w:val="000000"/>
              </w:rPr>
            </w:pPr>
            <w:r w:rsidRPr="007B43FD">
              <w:rPr>
                <w:rFonts w:ascii="Times New Roman" w:hAnsi="Times New Roman" w:cs="Times New Roman"/>
                <w:b/>
                <w:color w:val="000000"/>
              </w:rPr>
              <w:t>на 01.01.2023 г.</w:t>
            </w:r>
          </w:p>
        </w:tc>
        <w:tc>
          <w:tcPr>
            <w:tcW w:w="1777" w:type="dxa"/>
            <w:tcBorders>
              <w:top w:val="single" w:sz="4" w:space="0" w:color="auto"/>
              <w:left w:val="single" w:sz="4" w:space="0" w:color="auto"/>
              <w:bottom w:val="single" w:sz="4" w:space="0" w:color="auto"/>
              <w:right w:val="single" w:sz="4" w:space="0" w:color="auto"/>
            </w:tcBorders>
            <w:noWrap/>
            <w:vAlign w:val="bottom"/>
            <w:hideMark/>
          </w:tcPr>
          <w:p w:rsidR="007B43FD" w:rsidRPr="007B43FD" w:rsidRDefault="007B43FD" w:rsidP="00AB139D">
            <w:pPr>
              <w:ind w:left="-30" w:firstLine="30"/>
              <w:jc w:val="center"/>
              <w:rPr>
                <w:rFonts w:ascii="Times New Roman" w:hAnsi="Times New Roman" w:cs="Times New Roman"/>
                <w:b/>
                <w:bCs/>
                <w:color w:val="000000"/>
              </w:rPr>
            </w:pPr>
            <w:r w:rsidRPr="007B43FD">
              <w:rPr>
                <w:rFonts w:ascii="Times New Roman" w:hAnsi="Times New Roman" w:cs="Times New Roman"/>
                <w:b/>
                <w:bCs/>
                <w:color w:val="000000"/>
              </w:rPr>
              <w:t>на 01.01.2024 г.</w:t>
            </w:r>
          </w:p>
        </w:tc>
        <w:tc>
          <w:tcPr>
            <w:tcW w:w="1701" w:type="dxa"/>
            <w:tcBorders>
              <w:top w:val="single" w:sz="4" w:space="0" w:color="auto"/>
              <w:left w:val="nil"/>
              <w:bottom w:val="single" w:sz="4" w:space="0" w:color="auto"/>
              <w:right w:val="single" w:sz="4" w:space="0" w:color="auto"/>
            </w:tcBorders>
            <w:noWrap/>
            <w:vAlign w:val="bottom"/>
            <w:hideMark/>
          </w:tcPr>
          <w:p w:rsidR="007B43FD" w:rsidRPr="007B43FD" w:rsidRDefault="007B43FD" w:rsidP="00AB139D">
            <w:pPr>
              <w:ind w:right="37"/>
              <w:jc w:val="center"/>
              <w:rPr>
                <w:rFonts w:ascii="Times New Roman" w:hAnsi="Times New Roman" w:cs="Times New Roman"/>
                <w:b/>
                <w:bCs/>
                <w:color w:val="000000"/>
              </w:rPr>
            </w:pPr>
            <w:proofErr w:type="spellStart"/>
            <w:r w:rsidRPr="007B43FD">
              <w:rPr>
                <w:rFonts w:ascii="Times New Roman" w:hAnsi="Times New Roman" w:cs="Times New Roman"/>
                <w:b/>
                <w:bCs/>
                <w:color w:val="000000"/>
              </w:rPr>
              <w:t>откл</w:t>
            </w:r>
            <w:proofErr w:type="spellEnd"/>
            <w:r w:rsidRPr="007B43FD">
              <w:rPr>
                <w:rFonts w:ascii="Times New Roman" w:hAnsi="Times New Roman" w:cs="Times New Roman"/>
                <w:b/>
                <w:bCs/>
                <w:color w:val="000000"/>
              </w:rPr>
              <w:t>.</w:t>
            </w:r>
          </w:p>
        </w:tc>
      </w:tr>
      <w:tr w:rsidR="007B43FD" w:rsidRPr="004A4476" w:rsidTr="007B43FD">
        <w:trPr>
          <w:trHeight w:val="255"/>
        </w:trPr>
        <w:tc>
          <w:tcPr>
            <w:tcW w:w="3827" w:type="dxa"/>
            <w:tcBorders>
              <w:top w:val="single" w:sz="4" w:space="0" w:color="auto"/>
              <w:left w:val="single" w:sz="4" w:space="0" w:color="auto"/>
              <w:bottom w:val="single" w:sz="4" w:space="0" w:color="auto"/>
              <w:right w:val="single" w:sz="4" w:space="0" w:color="auto"/>
            </w:tcBorders>
            <w:noWrap/>
            <w:vAlign w:val="bottom"/>
            <w:hideMark/>
          </w:tcPr>
          <w:p w:rsidR="007B43FD" w:rsidRPr="007B43FD" w:rsidRDefault="007B43FD" w:rsidP="00AB139D">
            <w:pPr>
              <w:ind w:left="52" w:right="27"/>
              <w:rPr>
                <w:rFonts w:ascii="Times New Roman" w:hAnsi="Times New Roman" w:cs="Times New Roman"/>
                <w:bCs/>
              </w:rPr>
            </w:pPr>
            <w:r w:rsidRPr="007B43FD">
              <w:rPr>
                <w:rFonts w:ascii="Times New Roman" w:hAnsi="Times New Roman" w:cs="Times New Roman"/>
                <w:bCs/>
              </w:rPr>
              <w:t>НДФЛ</w:t>
            </w:r>
          </w:p>
        </w:tc>
        <w:tc>
          <w:tcPr>
            <w:tcW w:w="1909" w:type="dxa"/>
            <w:tcBorders>
              <w:top w:val="single" w:sz="4" w:space="0" w:color="auto"/>
              <w:left w:val="nil"/>
              <w:bottom w:val="single" w:sz="4" w:space="0" w:color="auto"/>
              <w:right w:val="nil"/>
            </w:tcBorders>
            <w:hideMark/>
          </w:tcPr>
          <w:p w:rsidR="007B43FD" w:rsidRPr="007B43FD" w:rsidRDefault="007B43FD" w:rsidP="00AB139D">
            <w:pPr>
              <w:ind w:left="567" w:right="424" w:hanging="207"/>
              <w:jc w:val="center"/>
              <w:rPr>
                <w:rFonts w:ascii="Times New Roman" w:hAnsi="Times New Roman" w:cs="Times New Roman"/>
                <w:bCs/>
              </w:rPr>
            </w:pPr>
            <w:r w:rsidRPr="007B43FD">
              <w:rPr>
                <w:rFonts w:ascii="Times New Roman" w:hAnsi="Times New Roman" w:cs="Times New Roman"/>
                <w:bCs/>
              </w:rPr>
              <w:t>43,4</w:t>
            </w:r>
          </w:p>
        </w:tc>
        <w:tc>
          <w:tcPr>
            <w:tcW w:w="1777" w:type="dxa"/>
            <w:tcBorders>
              <w:top w:val="single" w:sz="4" w:space="0" w:color="auto"/>
              <w:left w:val="single" w:sz="4" w:space="0" w:color="auto"/>
              <w:bottom w:val="single" w:sz="4" w:space="0" w:color="auto"/>
              <w:right w:val="single" w:sz="4" w:space="0" w:color="auto"/>
            </w:tcBorders>
            <w:noWrap/>
            <w:vAlign w:val="bottom"/>
            <w:hideMark/>
          </w:tcPr>
          <w:p w:rsidR="007B43FD" w:rsidRPr="007B43FD" w:rsidRDefault="007B43FD" w:rsidP="00AB139D">
            <w:pPr>
              <w:ind w:left="567" w:right="424" w:hanging="207"/>
              <w:jc w:val="center"/>
              <w:rPr>
                <w:rFonts w:ascii="Times New Roman" w:hAnsi="Times New Roman" w:cs="Times New Roman"/>
                <w:bCs/>
              </w:rPr>
            </w:pPr>
            <w:r w:rsidRPr="007B43FD">
              <w:rPr>
                <w:rFonts w:ascii="Times New Roman" w:hAnsi="Times New Roman" w:cs="Times New Roman"/>
                <w:bCs/>
              </w:rPr>
              <w:t>137,0</w:t>
            </w:r>
          </w:p>
        </w:tc>
        <w:tc>
          <w:tcPr>
            <w:tcW w:w="1701" w:type="dxa"/>
            <w:tcBorders>
              <w:top w:val="single" w:sz="4" w:space="0" w:color="auto"/>
              <w:left w:val="nil"/>
              <w:bottom w:val="single" w:sz="4" w:space="0" w:color="auto"/>
              <w:right w:val="single" w:sz="4" w:space="0" w:color="auto"/>
            </w:tcBorders>
            <w:noWrap/>
            <w:vAlign w:val="bottom"/>
            <w:hideMark/>
          </w:tcPr>
          <w:p w:rsidR="007B43FD" w:rsidRPr="007B43FD" w:rsidRDefault="007B43FD" w:rsidP="00AB139D">
            <w:pPr>
              <w:ind w:left="567" w:right="424" w:hanging="207"/>
              <w:jc w:val="center"/>
              <w:rPr>
                <w:rFonts w:ascii="Times New Roman" w:hAnsi="Times New Roman" w:cs="Times New Roman"/>
                <w:bCs/>
              </w:rPr>
            </w:pPr>
            <w:r w:rsidRPr="007B43FD">
              <w:rPr>
                <w:rFonts w:ascii="Times New Roman" w:hAnsi="Times New Roman" w:cs="Times New Roman"/>
                <w:bCs/>
              </w:rPr>
              <w:t>+93,6</w:t>
            </w:r>
          </w:p>
        </w:tc>
      </w:tr>
      <w:tr w:rsidR="007B43FD" w:rsidRPr="004A4476" w:rsidTr="007B43FD">
        <w:trPr>
          <w:trHeight w:val="255"/>
        </w:trPr>
        <w:tc>
          <w:tcPr>
            <w:tcW w:w="3827" w:type="dxa"/>
            <w:tcBorders>
              <w:top w:val="nil"/>
              <w:left w:val="single" w:sz="4" w:space="0" w:color="auto"/>
              <w:bottom w:val="single" w:sz="4" w:space="0" w:color="auto"/>
              <w:right w:val="single" w:sz="4" w:space="0" w:color="auto"/>
            </w:tcBorders>
            <w:noWrap/>
            <w:vAlign w:val="bottom"/>
            <w:hideMark/>
          </w:tcPr>
          <w:p w:rsidR="007B43FD" w:rsidRPr="007B43FD" w:rsidRDefault="007B43FD" w:rsidP="00AB139D">
            <w:pPr>
              <w:ind w:left="52" w:right="27"/>
              <w:rPr>
                <w:rFonts w:ascii="Times New Roman" w:hAnsi="Times New Roman" w:cs="Times New Roman"/>
              </w:rPr>
            </w:pPr>
            <w:r w:rsidRPr="007B43FD">
              <w:rPr>
                <w:rFonts w:ascii="Times New Roman" w:hAnsi="Times New Roman" w:cs="Times New Roman"/>
              </w:rPr>
              <w:t>Налог на имущество физ. лиц</w:t>
            </w:r>
          </w:p>
        </w:tc>
        <w:tc>
          <w:tcPr>
            <w:tcW w:w="1909" w:type="dxa"/>
            <w:tcBorders>
              <w:top w:val="single" w:sz="4" w:space="0" w:color="auto"/>
              <w:left w:val="nil"/>
              <w:bottom w:val="single" w:sz="4" w:space="0" w:color="auto"/>
              <w:right w:val="nil"/>
            </w:tcBorders>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207,6</w:t>
            </w:r>
          </w:p>
        </w:tc>
        <w:tc>
          <w:tcPr>
            <w:tcW w:w="1777" w:type="dxa"/>
            <w:tcBorders>
              <w:top w:val="single" w:sz="4" w:space="0" w:color="auto"/>
              <w:left w:val="single" w:sz="4" w:space="0" w:color="auto"/>
              <w:bottom w:val="single" w:sz="4" w:space="0" w:color="auto"/>
              <w:right w:val="single" w:sz="4" w:space="0" w:color="auto"/>
            </w:tcBorders>
            <w:noWrap/>
            <w:vAlign w:val="bottom"/>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202,9</w:t>
            </w:r>
          </w:p>
        </w:tc>
        <w:tc>
          <w:tcPr>
            <w:tcW w:w="1701" w:type="dxa"/>
            <w:tcBorders>
              <w:top w:val="nil"/>
              <w:left w:val="nil"/>
              <w:bottom w:val="single" w:sz="4" w:space="0" w:color="auto"/>
              <w:right w:val="single" w:sz="4" w:space="0" w:color="auto"/>
            </w:tcBorders>
            <w:noWrap/>
            <w:vAlign w:val="bottom"/>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-4,7</w:t>
            </w:r>
          </w:p>
        </w:tc>
      </w:tr>
      <w:tr w:rsidR="007B43FD" w:rsidRPr="004A4476" w:rsidTr="007B43FD">
        <w:trPr>
          <w:trHeight w:val="255"/>
        </w:trPr>
        <w:tc>
          <w:tcPr>
            <w:tcW w:w="3827" w:type="dxa"/>
            <w:tcBorders>
              <w:top w:val="nil"/>
              <w:left w:val="single" w:sz="4" w:space="0" w:color="auto"/>
              <w:bottom w:val="single" w:sz="4" w:space="0" w:color="auto"/>
              <w:right w:val="single" w:sz="4" w:space="0" w:color="auto"/>
            </w:tcBorders>
            <w:noWrap/>
            <w:vAlign w:val="bottom"/>
            <w:hideMark/>
          </w:tcPr>
          <w:p w:rsidR="007B43FD" w:rsidRPr="007B43FD" w:rsidRDefault="007B43FD" w:rsidP="00AB139D">
            <w:pPr>
              <w:ind w:left="52" w:right="27"/>
              <w:rPr>
                <w:rFonts w:ascii="Times New Roman" w:hAnsi="Times New Roman" w:cs="Times New Roman"/>
              </w:rPr>
            </w:pPr>
            <w:r w:rsidRPr="007B43FD">
              <w:rPr>
                <w:rFonts w:ascii="Times New Roman" w:hAnsi="Times New Roman" w:cs="Times New Roman"/>
              </w:rPr>
              <w:t>Земельный налог с организаций</w:t>
            </w:r>
          </w:p>
        </w:tc>
        <w:tc>
          <w:tcPr>
            <w:tcW w:w="1909" w:type="dxa"/>
            <w:tcBorders>
              <w:top w:val="single" w:sz="4" w:space="0" w:color="auto"/>
              <w:left w:val="nil"/>
              <w:bottom w:val="single" w:sz="4" w:space="0" w:color="auto"/>
              <w:right w:val="nil"/>
            </w:tcBorders>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0</w:t>
            </w:r>
          </w:p>
        </w:tc>
        <w:tc>
          <w:tcPr>
            <w:tcW w:w="1777" w:type="dxa"/>
            <w:tcBorders>
              <w:top w:val="single" w:sz="4" w:space="0" w:color="auto"/>
              <w:left w:val="single" w:sz="4" w:space="0" w:color="auto"/>
              <w:bottom w:val="single" w:sz="4" w:space="0" w:color="auto"/>
              <w:right w:val="single" w:sz="4" w:space="0" w:color="auto"/>
            </w:tcBorders>
            <w:noWrap/>
            <w:vAlign w:val="bottom"/>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39,2</w:t>
            </w:r>
          </w:p>
        </w:tc>
        <w:tc>
          <w:tcPr>
            <w:tcW w:w="1701" w:type="dxa"/>
            <w:tcBorders>
              <w:top w:val="nil"/>
              <w:left w:val="nil"/>
              <w:bottom w:val="single" w:sz="4" w:space="0" w:color="auto"/>
              <w:right w:val="single" w:sz="4" w:space="0" w:color="auto"/>
            </w:tcBorders>
            <w:noWrap/>
            <w:vAlign w:val="bottom"/>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+39,2</w:t>
            </w:r>
          </w:p>
        </w:tc>
      </w:tr>
      <w:tr w:rsidR="007B43FD" w:rsidRPr="004A4476" w:rsidTr="007B43FD">
        <w:trPr>
          <w:trHeight w:val="255"/>
        </w:trPr>
        <w:tc>
          <w:tcPr>
            <w:tcW w:w="3827" w:type="dxa"/>
            <w:tcBorders>
              <w:top w:val="nil"/>
              <w:left w:val="single" w:sz="4" w:space="0" w:color="auto"/>
              <w:bottom w:val="single" w:sz="4" w:space="0" w:color="auto"/>
              <w:right w:val="single" w:sz="4" w:space="0" w:color="auto"/>
            </w:tcBorders>
            <w:noWrap/>
            <w:vAlign w:val="bottom"/>
          </w:tcPr>
          <w:p w:rsidR="007B43FD" w:rsidRPr="007B43FD" w:rsidRDefault="007B43FD" w:rsidP="00AB139D">
            <w:pPr>
              <w:ind w:left="52" w:right="27"/>
              <w:rPr>
                <w:rFonts w:ascii="Times New Roman" w:hAnsi="Times New Roman" w:cs="Times New Roman"/>
              </w:rPr>
            </w:pPr>
            <w:r w:rsidRPr="007B43FD">
              <w:rPr>
                <w:rFonts w:ascii="Times New Roman" w:hAnsi="Times New Roman" w:cs="Times New Roman"/>
              </w:rPr>
              <w:t>Земельный налог с физ. лиц</w:t>
            </w:r>
          </w:p>
        </w:tc>
        <w:tc>
          <w:tcPr>
            <w:tcW w:w="1909" w:type="dxa"/>
            <w:tcBorders>
              <w:top w:val="single" w:sz="4" w:space="0" w:color="auto"/>
              <w:left w:val="nil"/>
              <w:bottom w:val="single" w:sz="4" w:space="0" w:color="auto"/>
              <w:right w:val="nil"/>
            </w:tcBorders>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91,2</w:t>
            </w:r>
          </w:p>
        </w:tc>
        <w:tc>
          <w:tcPr>
            <w:tcW w:w="1777" w:type="dxa"/>
            <w:tcBorders>
              <w:top w:val="single" w:sz="4" w:space="0" w:color="auto"/>
              <w:left w:val="single" w:sz="4" w:space="0" w:color="auto"/>
              <w:bottom w:val="single" w:sz="4" w:space="0" w:color="auto"/>
              <w:right w:val="single" w:sz="4" w:space="0" w:color="auto"/>
            </w:tcBorders>
            <w:noWrap/>
            <w:vAlign w:val="bottom"/>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88,0</w:t>
            </w:r>
          </w:p>
        </w:tc>
        <w:tc>
          <w:tcPr>
            <w:tcW w:w="1701" w:type="dxa"/>
            <w:tcBorders>
              <w:top w:val="nil"/>
              <w:left w:val="nil"/>
              <w:bottom w:val="single" w:sz="4" w:space="0" w:color="auto"/>
              <w:right w:val="single" w:sz="4" w:space="0" w:color="auto"/>
            </w:tcBorders>
            <w:noWrap/>
            <w:vAlign w:val="bottom"/>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-3,2</w:t>
            </w:r>
          </w:p>
        </w:tc>
      </w:tr>
      <w:tr w:rsidR="007B43FD" w:rsidRPr="004A4476" w:rsidTr="007B43FD">
        <w:trPr>
          <w:trHeight w:val="255"/>
        </w:trPr>
        <w:tc>
          <w:tcPr>
            <w:tcW w:w="3827" w:type="dxa"/>
            <w:tcBorders>
              <w:top w:val="nil"/>
              <w:left w:val="single" w:sz="4" w:space="0" w:color="auto"/>
              <w:bottom w:val="single" w:sz="4" w:space="0" w:color="auto"/>
              <w:right w:val="single" w:sz="4" w:space="0" w:color="auto"/>
            </w:tcBorders>
            <w:noWrap/>
            <w:vAlign w:val="bottom"/>
            <w:hideMark/>
          </w:tcPr>
          <w:p w:rsidR="007B43FD" w:rsidRPr="007B43FD" w:rsidRDefault="007B43FD" w:rsidP="00AB139D">
            <w:pPr>
              <w:ind w:left="52" w:right="27"/>
              <w:rPr>
                <w:rFonts w:ascii="Times New Roman" w:hAnsi="Times New Roman" w:cs="Times New Roman"/>
              </w:rPr>
            </w:pPr>
            <w:r w:rsidRPr="007B43FD">
              <w:rPr>
                <w:rFonts w:ascii="Times New Roman" w:hAnsi="Times New Roman" w:cs="Times New Roman"/>
              </w:rPr>
              <w:t>итого</w:t>
            </w:r>
          </w:p>
        </w:tc>
        <w:tc>
          <w:tcPr>
            <w:tcW w:w="1909" w:type="dxa"/>
            <w:tcBorders>
              <w:top w:val="single" w:sz="4" w:space="0" w:color="auto"/>
              <w:left w:val="nil"/>
              <w:bottom w:val="single" w:sz="4" w:space="0" w:color="auto"/>
              <w:right w:val="nil"/>
            </w:tcBorders>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342,2</w:t>
            </w:r>
          </w:p>
        </w:tc>
        <w:tc>
          <w:tcPr>
            <w:tcW w:w="1777" w:type="dxa"/>
            <w:tcBorders>
              <w:top w:val="single" w:sz="4" w:space="0" w:color="auto"/>
              <w:left w:val="single" w:sz="4" w:space="0" w:color="auto"/>
              <w:bottom w:val="single" w:sz="4" w:space="0" w:color="auto"/>
              <w:right w:val="single" w:sz="4" w:space="0" w:color="auto"/>
            </w:tcBorders>
            <w:noWrap/>
            <w:vAlign w:val="bottom"/>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467,1</w:t>
            </w:r>
          </w:p>
        </w:tc>
        <w:tc>
          <w:tcPr>
            <w:tcW w:w="1701" w:type="dxa"/>
            <w:tcBorders>
              <w:top w:val="nil"/>
              <w:left w:val="nil"/>
              <w:bottom w:val="single" w:sz="4" w:space="0" w:color="auto"/>
              <w:right w:val="single" w:sz="4" w:space="0" w:color="auto"/>
            </w:tcBorders>
            <w:noWrap/>
            <w:vAlign w:val="bottom"/>
            <w:hideMark/>
          </w:tcPr>
          <w:p w:rsidR="007B43FD" w:rsidRPr="007B43FD" w:rsidRDefault="007B43FD" w:rsidP="00AB139D">
            <w:pPr>
              <w:ind w:left="567" w:right="424" w:hanging="207"/>
              <w:jc w:val="center"/>
              <w:rPr>
                <w:rFonts w:ascii="Times New Roman" w:hAnsi="Times New Roman" w:cs="Times New Roman"/>
              </w:rPr>
            </w:pPr>
            <w:r w:rsidRPr="007B43FD">
              <w:rPr>
                <w:rFonts w:ascii="Times New Roman" w:hAnsi="Times New Roman" w:cs="Times New Roman"/>
              </w:rPr>
              <w:t>+124,9</w:t>
            </w:r>
          </w:p>
        </w:tc>
      </w:tr>
    </w:tbl>
    <w:p w:rsidR="007B43FD" w:rsidRDefault="007B43FD" w:rsidP="007B43FD">
      <w:pPr>
        <w:ind w:firstLine="709"/>
        <w:rPr>
          <w:rFonts w:ascii="Times New Roman" w:eastAsia="Times New Roman" w:hAnsi="Times New Roman" w:cs="Times New Roman"/>
          <w:bCs/>
          <w:color w:val="000000"/>
          <w:sz w:val="24"/>
          <w:szCs w:val="28"/>
          <w:lang w:eastAsia="ru-RU"/>
        </w:rPr>
      </w:pPr>
    </w:p>
    <w:p w:rsidR="007B43FD" w:rsidRPr="007B43FD" w:rsidRDefault="007B43FD" w:rsidP="007B43FD">
      <w:pPr>
        <w:ind w:firstLine="709"/>
        <w:jc w:val="right"/>
        <w:rPr>
          <w:rFonts w:ascii="Times New Roman" w:eastAsia="Times New Roman" w:hAnsi="Times New Roman" w:cs="Times New Roman"/>
          <w:bCs/>
          <w:color w:val="000000"/>
          <w:sz w:val="24"/>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 xml:space="preserve">Недоимка по платежам в бюджет Азейского муниципального образования по состоянию на 01.01.2025 г. по сравнению с данными на 01.01.2024 г. увеличилась на 124,9 тыс. руб., в том числе: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по налогу на доходы физических лиц увеличилась на 93,6 тыс.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по земельному налогу с организаций увеличилась на 39,2 тыс.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по налогу на имущество физических лиц уменьшилась на 4,7 тыс.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по земельному налогу с физических лиц уменьшилась на 3,2 тыс.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Безвозмездные поступления от других бюджетов бюджетной системы РФ за 2024 год при плане 8 288,4 тыс. руб., составили 8 288,4 тыс. руб. или 100,0 %.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Доля безвозмездных поступлений в общей сумме доходов составила 55,7 %.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Доля собственных доходов в общей сумме доходов составила 44,3 %.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center"/>
        <w:rPr>
          <w:rFonts w:ascii="Times New Roman" w:eastAsia="Times New Roman" w:hAnsi="Times New Roman" w:cs="Times New Roman"/>
          <w:b/>
          <w:bCs/>
          <w:color w:val="000000"/>
          <w:sz w:val="28"/>
          <w:szCs w:val="28"/>
          <w:lang w:eastAsia="ru-RU"/>
        </w:rPr>
      </w:pPr>
      <w:r w:rsidRPr="007B43FD">
        <w:rPr>
          <w:rFonts w:ascii="Times New Roman" w:eastAsia="Times New Roman" w:hAnsi="Times New Roman" w:cs="Times New Roman"/>
          <w:b/>
          <w:bCs/>
          <w:color w:val="000000"/>
          <w:sz w:val="28"/>
          <w:szCs w:val="28"/>
          <w:lang w:eastAsia="ru-RU"/>
        </w:rPr>
        <w:t>12. Уровень жизни населения. Труд и занятость.</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Численность населения по данным Федеральной службы государственной - в учреждениях культуры – 78643,4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в учреждениях управления – 53081,9 руб.</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Основной причиной возникновения малоимущего населения по-прежнему остается низкий уровень заработной платы в предприятиях малого бизнеса (торговли), здравоохранения, низкий уровень пенсий, установленный отдельным категориям пенсионеров и инвалидам.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Безработных, стоящих на учёте в службе занятости и получающих пособие по безработице ниже величины прожиточного минимума трудоспособного населения, нет (на уровне 2023 года).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В 2024 году администрацией Азейского сельского поселения по муниципальной программе «Социально-экономическое развитие территории Азейского сельского поселения на 2024-2028 гг.» выполнены следующие мероприятия: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 приобретена и установлена своими силами детская площадка в с.Азей по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ул. Привокзальная, 9в (за счет средств народных инициатив), а также окрашено ограждение данной площадки;</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организован и проведен месячник по санитарной очистке населенных пунктов Азейского МО (с.Азей и д.Нюра);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санкционированный отжиг сухой растительности вблизи с.Азей;</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проведен санкционированный отжиг сухой растительности вблизи с.Азей;</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окрашены скамейки на территории памятного места в с.Азей;</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установлены дорожные знаки и остановочный пункт в д. Нюра;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проведены работы по выявлению и уничтожению дикорастущей конопли;</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замены лампы, светильники уличного освещения в с.Азей;</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lastRenderedPageBreak/>
        <w:t>- проведены работы по грейдированию дороги и частичной подсыпке по ул. Российская с.Азей;</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в зимний период проводится очистка автомобильных дорог от снега;</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актуализирована схема теплоснабжения Азейского сельского поселения;</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проведен ремонт контейнеров, бункера-накопителя;</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обновлены противопожарные минерализированные полосы д. Нюра и с.Азей;</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r w:rsidRPr="007B43FD">
        <w:rPr>
          <w:rFonts w:ascii="Times New Roman" w:eastAsia="Times New Roman" w:hAnsi="Times New Roman" w:cs="Times New Roman"/>
          <w:bCs/>
          <w:color w:val="000000"/>
          <w:sz w:val="28"/>
          <w:szCs w:val="28"/>
          <w:lang w:eastAsia="ru-RU"/>
        </w:rPr>
        <w:t xml:space="preserve">По оценке 2025 года и в перспективе на 2026-2028 гг. прогнозируется увеличение заработной платы и пенсий, по муниципальной программе «Социально-экономическое развитие территории Азейского сельского поселения на 2024-2028 гг.» будут реализованы мероприятия по дорожной деятельности (ремонт и содержание автомобильных дорог общего пользования местного значения), комплексные меры безопасности (обновление минерализованных полос в с.Азей и д.Нюра и др.), в инфраструктуре (по народным инициативам приобретена и установлена детская площадка в с.Азей по ул. Привокзальная, 4а, планируется приобретение и установка металлических ограждений для детских площадок в с.Азей) в сфере культуры и спорта (проведение текущего ремонта здания МКУК «КДЦ с.Азей» и др.). За счет средств инициативного проекта планируется в 2026 году приобретение и установка уличной сцены в МКУК «КДЦ с.Азей» </w:t>
      </w: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7B43FD" w:rsidRPr="007B43FD" w:rsidRDefault="007B43FD" w:rsidP="007B43FD">
      <w:pPr>
        <w:ind w:firstLine="709"/>
        <w:jc w:val="both"/>
        <w:rPr>
          <w:rFonts w:ascii="Times New Roman" w:eastAsia="Times New Roman" w:hAnsi="Times New Roman" w:cs="Times New Roman"/>
          <w:bCs/>
          <w:color w:val="000000"/>
          <w:sz w:val="28"/>
          <w:szCs w:val="28"/>
          <w:lang w:eastAsia="ru-RU"/>
        </w:rPr>
      </w:pPr>
    </w:p>
    <w:p w:rsidR="00EB7040" w:rsidRPr="00346854" w:rsidRDefault="00EB7040" w:rsidP="00182D62">
      <w:pPr>
        <w:ind w:firstLine="709"/>
        <w:jc w:val="center"/>
        <w:rPr>
          <w:rFonts w:ascii="Times New Roman" w:eastAsia="Times New Roman" w:hAnsi="Times New Roman" w:cs="Times New Roman"/>
          <w:b/>
          <w:bCs/>
          <w:color w:val="000000"/>
          <w:sz w:val="28"/>
          <w:szCs w:val="28"/>
          <w:lang w:eastAsia="ru-RU"/>
        </w:rPr>
      </w:pPr>
    </w:p>
    <w:sectPr w:rsidR="00EB7040" w:rsidRPr="00346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37E78"/>
    <w:multiLevelType w:val="hybridMultilevel"/>
    <w:tmpl w:val="22BE33BA"/>
    <w:lvl w:ilvl="0" w:tplc="9B22FA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18D3604"/>
    <w:multiLevelType w:val="hybridMultilevel"/>
    <w:tmpl w:val="EBC45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77F2387"/>
    <w:multiLevelType w:val="hybridMultilevel"/>
    <w:tmpl w:val="7BEEFEA4"/>
    <w:lvl w:ilvl="0" w:tplc="021EAE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7200C0A"/>
    <w:multiLevelType w:val="hybridMultilevel"/>
    <w:tmpl w:val="D8642DD2"/>
    <w:lvl w:ilvl="0" w:tplc="FF2CF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B0D2D25"/>
    <w:multiLevelType w:val="hybridMultilevel"/>
    <w:tmpl w:val="FD36B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58"/>
    <w:rsid w:val="00182D62"/>
    <w:rsid w:val="00185917"/>
    <w:rsid w:val="0025665F"/>
    <w:rsid w:val="002749A9"/>
    <w:rsid w:val="00301653"/>
    <w:rsid w:val="0038095F"/>
    <w:rsid w:val="00381858"/>
    <w:rsid w:val="004917EA"/>
    <w:rsid w:val="004A2682"/>
    <w:rsid w:val="004B4F4E"/>
    <w:rsid w:val="0051732F"/>
    <w:rsid w:val="005840C7"/>
    <w:rsid w:val="005B7C58"/>
    <w:rsid w:val="005E4F8C"/>
    <w:rsid w:val="00613078"/>
    <w:rsid w:val="007B43FD"/>
    <w:rsid w:val="007C4F49"/>
    <w:rsid w:val="008B7C3C"/>
    <w:rsid w:val="0090624D"/>
    <w:rsid w:val="009176BD"/>
    <w:rsid w:val="00A35539"/>
    <w:rsid w:val="00B04335"/>
    <w:rsid w:val="00BA3432"/>
    <w:rsid w:val="00BB1335"/>
    <w:rsid w:val="00BB5D32"/>
    <w:rsid w:val="00BB72C5"/>
    <w:rsid w:val="00C2516D"/>
    <w:rsid w:val="00C40B4F"/>
    <w:rsid w:val="00C91E7B"/>
    <w:rsid w:val="00EB7040"/>
    <w:rsid w:val="00F71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8EAC"/>
  <w15:docId w15:val="{4FB4150D-48AF-4C04-92C4-3917E202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4335"/>
    <w:rPr>
      <w:color w:val="0000FF" w:themeColor="hyperlink"/>
      <w:u w:val="single"/>
    </w:rPr>
  </w:style>
  <w:style w:type="paragraph" w:styleId="a4">
    <w:name w:val="Balloon Text"/>
    <w:basedOn w:val="a"/>
    <w:link w:val="a5"/>
    <w:uiPriority w:val="99"/>
    <w:semiHidden/>
    <w:unhideWhenUsed/>
    <w:rsid w:val="00B04335"/>
    <w:rPr>
      <w:rFonts w:ascii="Segoe UI" w:hAnsi="Segoe UI" w:cs="Segoe UI"/>
      <w:sz w:val="18"/>
      <w:szCs w:val="18"/>
    </w:rPr>
  </w:style>
  <w:style w:type="character" w:customStyle="1" w:styleId="a5">
    <w:name w:val="Текст выноски Знак"/>
    <w:basedOn w:val="a0"/>
    <w:link w:val="a4"/>
    <w:uiPriority w:val="99"/>
    <w:semiHidden/>
    <w:rsid w:val="00B04335"/>
    <w:rPr>
      <w:rFonts w:ascii="Segoe UI" w:hAnsi="Segoe UI" w:cs="Segoe UI"/>
      <w:sz w:val="18"/>
      <w:szCs w:val="18"/>
    </w:rPr>
  </w:style>
  <w:style w:type="paragraph" w:styleId="a6">
    <w:name w:val="List Paragraph"/>
    <w:basedOn w:val="a"/>
    <w:link w:val="a7"/>
    <w:uiPriority w:val="34"/>
    <w:qFormat/>
    <w:rsid w:val="00185917"/>
    <w:pPr>
      <w:ind w:left="720"/>
      <w:contextualSpacing/>
    </w:pPr>
  </w:style>
  <w:style w:type="table" w:styleId="a8">
    <w:name w:val="Table Grid"/>
    <w:basedOn w:val="a1"/>
    <w:uiPriority w:val="59"/>
    <w:rsid w:val="00182D6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82D62"/>
    <w:pPr>
      <w:ind w:left="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182D62"/>
    <w:rPr>
      <w:rFonts w:ascii="Times New Roman" w:eastAsia="Times New Roman" w:hAnsi="Times New Roman" w:cs="Times New Roman"/>
      <w:sz w:val="28"/>
      <w:szCs w:val="20"/>
      <w:lang w:eastAsia="ru-RU"/>
    </w:rPr>
  </w:style>
  <w:style w:type="paragraph" w:styleId="a9">
    <w:name w:val="No Spacing"/>
    <w:link w:val="aa"/>
    <w:uiPriority w:val="1"/>
    <w:qFormat/>
    <w:rsid w:val="00182D62"/>
    <w:rPr>
      <w:rFonts w:ascii="Calibri" w:eastAsia="Calibri" w:hAnsi="Calibri" w:cs="Times New Roman"/>
    </w:rPr>
  </w:style>
  <w:style w:type="character" w:customStyle="1" w:styleId="aa">
    <w:name w:val="Без интервала Знак"/>
    <w:link w:val="a9"/>
    <w:uiPriority w:val="1"/>
    <w:locked/>
    <w:rsid w:val="00182D62"/>
    <w:rPr>
      <w:rFonts w:ascii="Calibri" w:eastAsia="Calibri" w:hAnsi="Calibri" w:cs="Times New Roman"/>
    </w:rPr>
  </w:style>
  <w:style w:type="paragraph" w:styleId="ab">
    <w:name w:val="Body Text"/>
    <w:basedOn w:val="a"/>
    <w:link w:val="ac"/>
    <w:rsid w:val="00182D62"/>
    <w:pPr>
      <w:spacing w:after="120"/>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182D62"/>
    <w:rPr>
      <w:rFonts w:ascii="Times New Roman" w:eastAsia="Times New Roman" w:hAnsi="Times New Roman" w:cs="Times New Roman"/>
      <w:sz w:val="24"/>
      <w:szCs w:val="24"/>
      <w:lang w:eastAsia="ru-RU"/>
    </w:rPr>
  </w:style>
  <w:style w:type="paragraph" w:styleId="ad">
    <w:name w:val="Block Text"/>
    <w:basedOn w:val="a"/>
    <w:unhideWhenUsed/>
    <w:rsid w:val="00182D62"/>
    <w:pPr>
      <w:ind w:left="1134" w:right="567" w:firstLine="709"/>
      <w:jc w:val="both"/>
    </w:pPr>
    <w:rPr>
      <w:rFonts w:ascii="Times New Roman" w:eastAsia="Times New Roman" w:hAnsi="Times New Roman" w:cs="Times New Roman"/>
      <w:sz w:val="24"/>
      <w:szCs w:val="24"/>
      <w:lang w:eastAsia="ru-RU"/>
    </w:rPr>
  </w:style>
  <w:style w:type="paragraph" w:customStyle="1" w:styleId="1">
    <w:name w:val="Цитата1"/>
    <w:basedOn w:val="a"/>
    <w:rsid w:val="00182D62"/>
    <w:pPr>
      <w:suppressAutoHyphens/>
      <w:ind w:left="1134" w:right="567" w:firstLine="709"/>
      <w:jc w:val="both"/>
    </w:pPr>
    <w:rPr>
      <w:rFonts w:ascii="Times New Roman" w:eastAsia="Times New Roman" w:hAnsi="Times New Roman" w:cs="Times New Roman"/>
      <w:sz w:val="24"/>
      <w:szCs w:val="24"/>
      <w:lang w:eastAsia="zh-CN"/>
    </w:rPr>
  </w:style>
  <w:style w:type="paragraph" w:styleId="ae">
    <w:name w:val="Normal (Web)"/>
    <w:basedOn w:val="a"/>
    <w:uiPriority w:val="99"/>
    <w:unhideWhenUsed/>
    <w:rsid w:val="00182D6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182D62"/>
  </w:style>
  <w:style w:type="character" w:styleId="af">
    <w:name w:val="Strong"/>
    <w:basedOn w:val="a0"/>
    <w:uiPriority w:val="22"/>
    <w:qFormat/>
    <w:rsid w:val="00182D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12</Pages>
  <Words>3864</Words>
  <Characters>22027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Писаревского С.П.</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User</cp:lastModifiedBy>
  <cp:revision>30</cp:revision>
  <cp:lastPrinted>2025-11-12T06:00:00Z</cp:lastPrinted>
  <dcterms:created xsi:type="dcterms:W3CDTF">2014-10-17T14:52:00Z</dcterms:created>
  <dcterms:modified xsi:type="dcterms:W3CDTF">2025-11-12T06:01:00Z</dcterms:modified>
</cp:coreProperties>
</file>