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7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757240"/>
                      <wp:effectExtent l="0" t="0" r="0" b="5080"/>
                      <wp:docPr id="1" name="Рисунок 3" descr="C:\Users\gomanenko_gv\Desktop\Герб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gomanenko_gv\Desktop\Герб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927" cy="866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0pt;height:59.63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УПРАВЛЕНИЕ РОСРЕЕСТРА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ПО ИРКУТСКОЙ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29 октября 2025</w:t>
            </w:r>
            <w:r>
              <w:rPr>
                <w:rFonts w:cs="Times New Roman"/>
                <w:sz w:val="24"/>
                <w:szCs w:val="24"/>
              </w:rPr>
              <w:t xml:space="preserve"> года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W w:w="1476" w:type="dxa"/>
            <w:textDirection w:val="lrTb"/>
            <w:noWrap w:val="false"/>
          </w:tcPr>
          <w:p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contextualSpacing/>
        <w:ind w:firstLine="426"/>
        <w:jc w:val="both"/>
        <w:spacing w:after="0" w:line="240" w:lineRule="auto"/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rPr>
          <w:b/>
          <w:bCs/>
          <w:highlight w:val="none"/>
        </w:rPr>
      </w:pPr>
      <w:r>
        <w:rPr>
          <w:b/>
          <w:bCs/>
        </w:rPr>
        <w:t xml:space="preserve">Публичная кадастровая карта: полезный бесплатный сервис Росреестра</w:t>
      </w:r>
      <w:r>
        <w:rPr>
          <w:b/>
          <w:bCs/>
        </w:rPr>
      </w:r>
      <w:r/>
    </w:p>
    <w:p>
      <w:r>
        <w:rPr>
          <w:highlight w:val="none"/>
        </w:rPr>
      </w:r>
      <w:r/>
      <w:r/>
    </w:p>
    <w:p>
      <w:pPr>
        <w:rPr>
          <w:highlight w:val="none"/>
        </w:rPr>
      </w:pPr>
      <w:r>
        <w:t xml:space="preserve">Публичная кадастровая карта − это онлайн-сервис Росреестра, в котором содержатся сведения о границах объектов недвижимости, населенных пунктов, муниципальных образований, различных зон </w:t>
      </w:r>
      <w:r>
        <w:t xml:space="preserve">и иные сведения, внесенные в Единый государственный реестр недвижимости.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t xml:space="preserve">На публичной кадастровой карте можно найти свой объект недвижимости или объект, который вы планируете приобрести, а также любой другой объект (например, земельный участок, здание), который вас интересует.</w:t>
      </w:r>
      <w:r>
        <w:rPr>
          <w:highlight w:val="none"/>
        </w:rPr>
      </w:r>
      <w:r>
        <w:rPr>
          <w:highlight w:val="none"/>
        </w:rPr>
      </w:r>
    </w:p>
    <w:p>
      <w:r>
        <w:rPr>
          <w:highlight w:val="none"/>
        </w:rPr>
        <w:t xml:space="preserve">Можно узнать характеристики объекта недвижимости, его кадастровую стоимость, наличие оформленного права на объект и многое другое.</w:t>
      </w:r>
      <w:r/>
      <w:r/>
    </w:p>
    <w:p>
      <w:r>
        <w:t xml:space="preserve">Здесь также можно наглядно увидеть расположение объекта недвижимости, в том числе и относительно соседних объектов недвижимости, границ населенного пункта или какой-либо защитной зоны. </w:t>
      </w:r>
      <w:r/>
      <w:r/>
    </w:p>
    <w:p>
      <w:r>
        <w:rPr>
          <w:highlight w:val="none"/>
        </w:rPr>
        <w:t xml:space="preserve">Такая информация важна при подготовке сделок с объектом недвижимости, при ведении бизнеса и т.д.</w:t>
      </w:r>
      <w:r/>
      <w:r/>
    </w:p>
    <w:p>
      <w:pPr>
        <w:rPr>
          <w:highlight w:val="none"/>
        </w:rPr>
      </w:pPr>
      <w:r>
        <w:t xml:space="preserve">Публичная кадастровая карта доступна к просмотру на главной странице портала «Национальная система пространственных данных» (НСПД): </w:t>
      </w:r>
      <w:r/>
      <w:hyperlink r:id="rId10" w:tooltip="https://nspd.gov.ru" w:history="1">
        <w:r>
          <w:rPr>
            <w:rStyle w:val="835"/>
          </w:rPr>
          <w:t xml:space="preserve">https://nspd.gov.ru</w:t>
        </w:r>
        <w:r>
          <w:rPr>
            <w:rStyle w:val="835"/>
          </w:rPr>
        </w:r>
        <w:r>
          <w:rPr>
            <w:rStyle w:val="835"/>
          </w:rPr>
          <w:t xml:space="preserve">.</w:t>
        </w:r>
      </w:hyperlink>
      <w:r>
        <w:rPr>
          <w:highlight w:val="none"/>
        </w:rPr>
      </w:r>
      <w:r>
        <w:rPr>
          <w:highlight w:val="none"/>
        </w:rPr>
      </w:r>
    </w:p>
    <w:p>
      <w:r/>
      <w:r>
        <w:rPr>
          <w:highlight w:val="none"/>
        </w:rPr>
        <w:t xml:space="preserve">Как поясняет руководитель Управления Росреестра по Иркутской области Виктор Петрович Жердев, публичная кадастровая карта - официальный источ</w:t>
      </w:r>
      <w:r>
        <w:rPr>
          <w:highlight w:val="none"/>
        </w:rPr>
        <w:t xml:space="preserve">ник информации, который объединяет в себе сведения из различных государственных реестров и баз данных. Это значит, что обращение к публичной карте поможет сэкономить ваше время, которое иначе вы бы потратили на обращение в разные органы и ожидание ответов.</w:t>
      </w:r>
      <w:r/>
      <w:r/>
    </w:p>
    <w:p>
      <w:r>
        <w:t xml:space="preserve">На Публичной кадастровой карте также есть такие полезные сервисы, как «Земля для стройки» и «Земля для туризма». Эти проекты помогают найти для себя свободные земельные участки для строительства жилья или ведения туристической деятельности.</w:t>
      </w:r>
      <w:r/>
      <w:r/>
    </w:p>
    <w:p>
      <w:pPr>
        <w:rPr>
          <w:highlight w:val="none"/>
        </w:rPr>
      </w:pPr>
      <w:r>
        <w:rPr>
          <w:highlight w:val="none"/>
        </w:rPr>
        <w:t xml:space="preserve">Управление Росреестра по Иркутской области призывает вас </w:t>
      </w:r>
      <w:r>
        <w:rPr>
          <w:highlight w:val="none"/>
        </w:rPr>
        <w:t xml:space="preserve">опасаться так называемых сайтов-двойников.</w:t>
      </w:r>
      <w:r>
        <w:t xml:space="preserve"> </w:t>
      </w:r>
      <w:r>
        <w:rPr>
          <w:highlight w:val="none"/>
        </w:rPr>
        <w:t xml:space="preserve">Это сайты, которые занимаются перепродажей бесплатных сведений с официальных ресурсов. В результате вы можете потратить свои средства и получить информацию из ненадежного источника.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Поэтому нужно пользоваться официальным источником информации – публичной кадастровой картой на портале НСПД (</w:t>
      </w:r>
      <w:r/>
      <w:hyperlink r:id="rId11" w:tooltip="https://nspd.gov.ru" w:history="1">
        <w:r>
          <w:rPr>
            <w:rStyle w:val="835"/>
          </w:rPr>
          <w:t xml:space="preserve">https://nspd.gov.ru</w:t>
        </w:r>
        <w:r>
          <w:rPr>
            <w:rStyle w:val="835"/>
          </w:rPr>
        </w:r>
        <w:r>
          <w:rPr>
            <w:rStyle w:val="835"/>
          </w:rPr>
        </w:r>
      </w:hyperlink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jc w:val="both"/>
        <w:spacing w:before="0" w:after="113" w:line="276" w:lineRule="auto"/>
        <w:rPr>
          <w:rFonts w:ascii="Arial" w:hAnsi="Arial" w:cs="Arial"/>
          <w:sz w:val="22"/>
          <w:szCs w:val="22"/>
          <w:highlight w:val="none"/>
        </w:rPr>
        <w:suppressLineNumbers w:val="0"/>
      </w:pPr>
      <w:r>
        <w:rPr>
          <w:rFonts w:ascii="Arial" w:hAnsi="Arial" w:cs="Arial"/>
          <w:sz w:val="22"/>
          <w:szCs w:val="22"/>
          <w:highlight w:val="none"/>
        </w:rPr>
      </w:r>
    </w:p>
    <w:p>
      <w:pPr>
        <w:jc w:val="both"/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ind w:left="0"/>
        <w:jc w:val="both"/>
        <w:spacing w:line="240" w:lineRule="auto"/>
        <w:tabs>
          <w:tab w:val="left" w:pos="567" w:leader="none"/>
        </w:tabs>
        <w:rPr>
          <w:rFonts w:ascii="Arial" w:hAnsi="Arial" w:cs="Arial"/>
          <w:i/>
          <w:color w:val="202122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202122"/>
          <w:sz w:val="22"/>
          <w:szCs w:val="22"/>
          <w:shd w:val="clear" w:color="auto" w:fill="ffffff"/>
        </w:rPr>
        <w:t xml:space="preserve">Пресс-служба Управления Росреестра по Иркутской области</w:t>
      </w:r>
      <w:r>
        <w:rPr>
          <w:rFonts w:ascii="Arial" w:hAnsi="Arial" w:cs="Arial"/>
          <w:i/>
          <w:color w:val="202122"/>
          <w:sz w:val="22"/>
          <w:szCs w:val="22"/>
          <w:shd w:val="clear" w:color="auto" w:fill="ffffff"/>
        </w:rPr>
      </w:r>
      <w:r>
        <w:rPr>
          <w:rFonts w:ascii="Arial" w:hAnsi="Arial" w:cs="Arial"/>
          <w:i/>
          <w:color w:val="202122"/>
          <w:sz w:val="22"/>
          <w:szCs w:val="22"/>
          <w:shd w:val="clear" w:color="auto" w:fill="ffffff"/>
        </w:rPr>
      </w:r>
    </w:p>
    <w:p>
      <w:pPr>
        <w:contextualSpacing/>
        <w:jc w:val="both"/>
        <w:spacing w:after="0" w:line="240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sectPr>
      <w:footnotePr/>
      <w:endnotePr/>
      <w:type w:val="nextPage"/>
      <w:pgSz w:w="11906" w:h="16838" w:orient="portrait"/>
      <w:pgMar w:top="567" w:right="707" w:bottom="568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29"/>
    <w:next w:val="829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0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29"/>
    <w:next w:val="829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0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0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0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0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0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0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29"/>
    <w:next w:val="829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0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29"/>
    <w:next w:val="829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0"/>
    <w:link w:val="675"/>
    <w:uiPriority w:val="10"/>
    <w:rPr>
      <w:sz w:val="48"/>
      <w:szCs w:val="48"/>
    </w:rPr>
  </w:style>
  <w:style w:type="paragraph" w:styleId="677">
    <w:name w:val="Subtitle"/>
    <w:basedOn w:val="829"/>
    <w:next w:val="829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0"/>
    <w:link w:val="677"/>
    <w:uiPriority w:val="11"/>
    <w:rPr>
      <w:sz w:val="24"/>
      <w:szCs w:val="24"/>
    </w:rPr>
  </w:style>
  <w:style w:type="paragraph" w:styleId="679">
    <w:name w:val="Quote"/>
    <w:basedOn w:val="829"/>
    <w:next w:val="829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29"/>
    <w:next w:val="829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0"/>
    <w:link w:val="841"/>
    <w:uiPriority w:val="99"/>
  </w:style>
  <w:style w:type="character" w:styleId="684">
    <w:name w:val="Footer Char"/>
    <w:basedOn w:val="830"/>
    <w:link w:val="843"/>
    <w:uiPriority w:val="99"/>
  </w:style>
  <w:style w:type="paragraph" w:styleId="685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43"/>
    <w:uiPriority w:val="99"/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Balloon Text"/>
    <w:basedOn w:val="829"/>
    <w:link w:val="83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4" w:customStyle="1">
    <w:name w:val="Текст выноски Знак"/>
    <w:basedOn w:val="830"/>
    <w:link w:val="833"/>
    <w:uiPriority w:val="99"/>
    <w:semiHidden/>
    <w:rPr>
      <w:rFonts w:ascii="Segoe UI" w:hAnsi="Segoe UI" w:cs="Segoe UI"/>
      <w:sz w:val="18"/>
      <w:szCs w:val="18"/>
    </w:rPr>
  </w:style>
  <w:style w:type="character" w:styleId="835">
    <w:name w:val="Hyperlink"/>
    <w:basedOn w:val="830"/>
    <w:uiPriority w:val="99"/>
    <w:unhideWhenUsed/>
    <w:rPr>
      <w:color w:val="0563c1" w:themeColor="hyperlink"/>
      <w:u w:val="single"/>
    </w:rPr>
  </w:style>
  <w:style w:type="paragraph" w:styleId="836">
    <w:name w:val="List Paragraph"/>
    <w:basedOn w:val="829"/>
    <w:uiPriority w:val="34"/>
    <w:qFormat/>
    <w:pPr>
      <w:contextualSpacing/>
      <w:ind w:left="720"/>
    </w:pPr>
  </w:style>
  <w:style w:type="table" w:styleId="837">
    <w:name w:val="Table Grid"/>
    <w:basedOn w:val="83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8" w:customStyle="1">
    <w:name w:val="object"/>
    <w:basedOn w:val="830"/>
  </w:style>
  <w:style w:type="paragraph" w:styleId="839">
    <w:name w:val="Normal (Web)"/>
    <w:basedOn w:val="82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>
    <w:name w:val="Emphasis"/>
    <w:basedOn w:val="830"/>
    <w:uiPriority w:val="20"/>
    <w:qFormat/>
    <w:rPr>
      <w:i/>
      <w:iCs/>
    </w:rPr>
  </w:style>
  <w:style w:type="paragraph" w:styleId="841">
    <w:name w:val="Header"/>
    <w:basedOn w:val="829"/>
    <w:link w:val="8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2" w:customStyle="1">
    <w:name w:val="Верхний колонтитул Знак"/>
    <w:basedOn w:val="830"/>
    <w:link w:val="841"/>
    <w:uiPriority w:val="99"/>
  </w:style>
  <w:style w:type="paragraph" w:styleId="843">
    <w:name w:val="Footer"/>
    <w:basedOn w:val="829"/>
    <w:link w:val="8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4" w:customStyle="1">
    <w:name w:val="Нижний колонтитул Знак"/>
    <w:basedOn w:val="830"/>
    <w:link w:val="843"/>
    <w:uiPriority w:val="99"/>
  </w:style>
  <w:style w:type="paragraph" w:styleId="845">
    <w:name w:val="Body Text"/>
    <w:basedOn w:val="829"/>
    <w:link w:val="847"/>
    <w:pPr>
      <w:ind w:firstLine="851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0"/>
      <w:lang w:eastAsia="ru-RU"/>
    </w:rPr>
  </w:style>
  <w:style w:type="character" w:styleId="846" w:customStyle="1">
    <w:name w:val="Основной текст Знак"/>
    <w:basedOn w:val="830"/>
    <w:uiPriority w:val="99"/>
    <w:semiHidden/>
  </w:style>
  <w:style w:type="character" w:styleId="847" w:customStyle="1">
    <w:name w:val="Основной текст Знак1"/>
    <w:basedOn w:val="830"/>
    <w:link w:val="845"/>
    <w:rPr>
      <w:rFonts w:ascii="Arial" w:hAnsi="Arial" w:eastAsia="Times New Roman" w:cs="Arial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nspd.gov.ru" TargetMode="External"/><Relationship Id="rId11" Type="http://schemas.openxmlformats.org/officeDocument/2006/relationships/hyperlink" Target="https://nspd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revision>44</cp:revision>
  <dcterms:created xsi:type="dcterms:W3CDTF">2022-09-29T02:49:00Z</dcterms:created>
  <dcterms:modified xsi:type="dcterms:W3CDTF">2025-10-28T05:03:56Z</dcterms:modified>
</cp:coreProperties>
</file>