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30 марта 2026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/>
        <w:jc w:val="both"/>
        <w:spacing w:after="0" w:line="276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Порядок оформления прав на общее имущество в СНТ планируется упростить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MO"/>
        </w:rPr>
        <w:t xml:space="preserve">Росреестр предложил упростить порядок оформления прав на общее имущество в са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MO"/>
        </w:rPr>
        <w:t xml:space="preserve">доводствах. В проекте федерального закона, разработанного ведомством, предлагается регистрировать право долевой собственности членов садоводств на общее имущество при постановке такого недвижимого имущества на кадастровый учет без дополнительных процедур.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MO"/>
        </w:rPr>
        <w:t xml:space="preserve">То есть право общей долевой собственности влад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MO"/>
        </w:rPr>
        <w:t xml:space="preserve">ельцев садовых или огородных земельных участков на имущество общего пользования  будет считаться возникшим в силу закона после проведения государственного кадастрового учета имущества в размере, пропорциональном площади принадлежащих им земельных участков.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“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Это существенно ускорит процесс оформления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прав на общее имущество СНТ, поскольку гражданам не нужно будет тратить время на обращение в уполномоченный орган для получения решения о предоставлении, не понадобятся проведение общего собрания, расчет долей и обращение за регистрацией права в Росреестре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”,  – отметил руководитель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 Управления Росреестра по Иркутской области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Виктор Петрович Жердев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“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Важно, что данный законопроект предусматривает и случаи, когда общее имущество уже стоит на кадастровом учете и числится за СНТ, на основании решения общего собрания членов СНТ его можно будет безвозмездно передать в общую долевую собственность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,” – пояснил председатель Союза садоводов Иркутской области, член Общественного совета при Управлении Росреестра по Иркутской области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Валерий Васильевич Жуйков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val="ru-MO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Для справки. К общему имуществу СНТ относится вся земля, которая находится на территории СНТ, но не относится к садовым участкам. На ней могут располагать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ся дороги, инженерные коммуникации (электрические сети, водопроводы и т.д.), места для сбора бытовых отходов, спортивные площадки и иное имущество, необходимое для обеспечения общих нужд собственников садовых участков.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4"/>
          <w:szCs w:val="24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  <w:shd w:val="clear" w:color="auto" w:fill="ffffff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eastAsia="Liberation Sans" w:cs="Liberation Sans"/>
          <w:i/>
          <w:color w:val="000000" w:themeColor="text1"/>
          <w:sz w:val="24"/>
          <w:szCs w:val="24"/>
          <w:highlight w:val="none"/>
          <w:shd w:val="clear" w:color="auto" w:fill="ffffff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Новость в МАХ: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hyperlink r:id="rId10" w:tooltip="https://max.ru/id3808114653_gos/AZ08KhYCL1Y" w:history="1">
        <w:r>
          <w:rPr>
            <w:rStyle w:val="835"/>
            <w:rFonts w:ascii="Liberation Sans" w:hAnsi="Liberation Sans" w:eastAsia="Liberation Sans" w:cs="Liberation Sans"/>
            <w:color w:val="000000"/>
            <w:sz w:val="24"/>
            <w:highlight w:val="white"/>
            <w:u w:val="single"/>
          </w:rPr>
          <w:t xml:space="preserve">https://max.ru/id3808114653_gos/AZ08KhYCL1Y</w:t>
        </w:r>
      </w:hyperlink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max.ru/id3808114653_gos/AZ08KhYCL1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51</cp:revision>
  <dcterms:created xsi:type="dcterms:W3CDTF">2022-09-29T02:49:00Z</dcterms:created>
  <dcterms:modified xsi:type="dcterms:W3CDTF">2026-03-30T00:39:21Z</dcterms:modified>
</cp:coreProperties>
</file>