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7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3  июня 2026</w:t>
            </w:r>
            <w:r>
              <w:rPr>
                <w:rFonts w:cs="Times New Roman"/>
                <w:sz w:val="24"/>
                <w:szCs w:val="24"/>
              </w:rPr>
              <w:t xml:space="preserve"> года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ind w:firstLine="426"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ind w:left="142"/>
        <w:jc w:val="both"/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ind w:left="0"/>
        <w:jc w:val="both"/>
        <w:spacing w:after="0" w:line="276" w:lineRule="auto"/>
        <w:tabs>
          <w:tab w:val="left" w:pos="0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ind w:left="0"/>
        <w:jc w:val="both"/>
        <w:spacing w:after="0" w:line="276" w:lineRule="auto"/>
        <w:tabs>
          <w:tab w:val="left" w:pos="0" w:leader="none"/>
          <w:tab w:val="center" w:pos="5103" w:leader="none"/>
        </w:tabs>
        <w:rPr>
          <w:rFonts w:ascii="Liberation Sans" w:hAnsi="Liberation Sans" w:cs="Liberation Sans"/>
          <w:b/>
          <w:bCs/>
          <w:sz w:val="24"/>
          <w:szCs w:val="24"/>
          <w:highlight w:val="none"/>
        </w:rPr>
      </w:pP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Новое в законодательстве о банкротстве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  <w:t xml:space="preserve">: должнику вернут часть средств после реализации единственного ипотечного жилья</w:t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  <w:r>
        <w:rPr>
          <w:rFonts w:ascii="Liberation Sans" w:hAnsi="Liberation Sans" w:cs="Liberation Sans"/>
          <w:b/>
          <w:bCs/>
          <w:sz w:val="24"/>
          <w:szCs w:val="24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</w:rPr>
      </w:r>
      <w:r/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i w:val="0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С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 3 апреля 2026 года действует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особый порядок распределения средств от продажи единственного ипотечного жилья должника, нововведения позволяют вернуть ему часть средств, вложенных в приобретение такого  жилья.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Если квартира была приобретена в ипотеку и является единственным местом проживания гражданина-банкрота и его семьи, то теперь не все средства от ее продажи будут использоваться для исполнения обязательств перед кредиторами. </w:t>
      </w:r>
      <w:r>
        <w:rPr>
          <w:rFonts w:ascii="Liberation Sans" w:hAnsi="Liberation Sans" w:eastAsia="Liberation Sans" w:cs="Liberation Sans"/>
          <w:i w:val="0"/>
          <w:color w:val="000000" w:themeColor="text1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i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Внесенными в закон о банкротстве изменениями предусмотрено, что из выручки сначала вычтут расходы на сохранение предмета залога и проведение торгов по его продаже. </w:t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Оставшаяся часть выручки от продажи единственного ипотечного жилья будет распределяться следующим образом: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10 процентов будет возвращено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 должнику, но не более суммы первоначального взноса и произведенных им выплат по ипотеке, то есть будет возвращена часть уже вложенных в ипотечное жилье средств;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80 процентов – залоговому кредитору в счет его требований, включая неустойки, финансовые санкции и мораторные проценты;  10 процентов – кредиторам первой и второй очереди, если недостаточно иного имущества должника для погашения их требований. О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статок будет направлен залоговому кредитору для окончательного погашения долга, а </w:t>
      </w:r>
      <w:r>
        <w:rPr>
          <w:rFonts w:ascii="Liberation Sans" w:hAnsi="Liberation Sans" w:eastAsia="Liberation Sans" w:cs="Liberation Sans"/>
          <w:i w:val="0"/>
          <w:iCs w:val="0"/>
          <w:color w:val="000000" w:themeColor="text1"/>
          <w:sz w:val="24"/>
          <w:szCs w:val="24"/>
          <w:highlight w:val="none"/>
          <w14:ligatures w14:val="none"/>
        </w:rPr>
        <w:t xml:space="preserve">если выручка все еще не будет потрачена полностью, оставшиеся средства будут переданы должнику.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t xml:space="preserve">Таким образом, теперь после процедуры банкротства у гражданина есть возможность решить жилищный вопрос за счет сохранения части средств, ранее вложенных им в покупку собственного жилья.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283"/>
        <w:jc w:val="both"/>
        <w:spacing w:before="0" w:after="0" w:line="276" w:lineRule="auto"/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 w:val="0"/>
          <w:i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  <w:t xml:space="preserve">Пресс-служба Управления Росреестра по Иркутской области</w:t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i/>
          <w:iCs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Cs/>
          <w:i/>
          <w:color w:val="000000" w:themeColor="text1"/>
          <w:sz w:val="24"/>
          <w:szCs w:val="24"/>
          <w:highlight w:val="none"/>
          <w14:ligatures w14:val="none"/>
        </w:rPr>
      </w:r>
    </w:p>
    <w:p>
      <w:pPr>
        <w:contextualSpacing w:val="0"/>
        <w:ind w:left="0" w:right="0" w:firstLine="0"/>
        <w:jc w:val="both"/>
        <w:spacing w:before="0" w:after="0" w:line="276" w:lineRule="auto"/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left="0"/>
        <w:jc w:val="both"/>
        <w:spacing w:line="276" w:lineRule="auto"/>
        <w:tabs>
          <w:tab w:val="left" w:pos="0" w:leader="none"/>
        </w:tabs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Liberation Sans" w:hAnsi="Liberation Sans" w:eastAsia="Liberation Sans" w:cs="Liberation Sans"/>
          <w:i/>
          <w:color w:val="202122"/>
          <w:sz w:val="24"/>
          <w:szCs w:val="24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Liberation Sans" w:hAnsi="Liberation Sans" w:cs="Liberation Sans"/>
          <w:bCs/>
          <w:i/>
          <w:color w:val="202122"/>
          <w:sz w:val="24"/>
          <w:szCs w:val="24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567" w:right="707" w:bottom="568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space"/>
      <w:lvlText w:val="ü"/>
      <w:lvlJc w:val="left"/>
      <w:pPr>
        <w:ind w:left="1418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9"/>
    <w:next w:val="839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0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9"/>
    <w:next w:val="839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0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9"/>
    <w:next w:val="839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0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9"/>
    <w:next w:val="839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0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9"/>
    <w:next w:val="839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0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9"/>
    <w:next w:val="839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9"/>
    <w:next w:val="839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0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9"/>
    <w:next w:val="839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0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9"/>
    <w:next w:val="839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0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39"/>
    <w:next w:val="839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0"/>
    <w:link w:val="685"/>
    <w:uiPriority w:val="10"/>
    <w:rPr>
      <w:sz w:val="48"/>
      <w:szCs w:val="48"/>
    </w:rPr>
  </w:style>
  <w:style w:type="paragraph" w:styleId="687">
    <w:name w:val="Subtitle"/>
    <w:basedOn w:val="839"/>
    <w:next w:val="839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0"/>
    <w:link w:val="687"/>
    <w:uiPriority w:val="11"/>
    <w:rPr>
      <w:sz w:val="24"/>
      <w:szCs w:val="24"/>
    </w:rPr>
  </w:style>
  <w:style w:type="paragraph" w:styleId="689">
    <w:name w:val="Quote"/>
    <w:basedOn w:val="839"/>
    <w:next w:val="839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39"/>
    <w:next w:val="839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0"/>
    <w:link w:val="851"/>
    <w:uiPriority w:val="99"/>
  </w:style>
  <w:style w:type="character" w:styleId="694">
    <w:name w:val="Footer Char"/>
    <w:basedOn w:val="840"/>
    <w:link w:val="853"/>
    <w:uiPriority w:val="99"/>
  </w:style>
  <w:style w:type="paragraph" w:styleId="695">
    <w:name w:val="Caption"/>
    <w:basedOn w:val="839"/>
    <w:next w:val="839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53"/>
    <w:uiPriority w:val="99"/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Balloon Text"/>
    <w:basedOn w:val="839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40"/>
    <w:link w:val="843"/>
    <w:uiPriority w:val="99"/>
    <w:semiHidden/>
    <w:rPr>
      <w:rFonts w:ascii="Segoe UI" w:hAnsi="Segoe UI" w:cs="Segoe UI"/>
      <w:sz w:val="18"/>
      <w:szCs w:val="18"/>
    </w:rPr>
  </w:style>
  <w:style w:type="character" w:styleId="845">
    <w:name w:val="Hyperlink"/>
    <w:basedOn w:val="840"/>
    <w:uiPriority w:val="99"/>
    <w:unhideWhenUsed/>
    <w:rPr>
      <w:color w:val="0563c1" w:themeColor="hyperlink"/>
      <w:u w:val="single"/>
    </w:rPr>
  </w:style>
  <w:style w:type="paragraph" w:styleId="846">
    <w:name w:val="List Paragraph"/>
    <w:basedOn w:val="839"/>
    <w:uiPriority w:val="34"/>
    <w:qFormat/>
    <w:pPr>
      <w:contextualSpacing/>
      <w:ind w:left="720"/>
    </w:pPr>
  </w:style>
  <w:style w:type="table" w:styleId="847">
    <w:name w:val="Table Grid"/>
    <w:basedOn w:val="84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8" w:customStyle="1">
    <w:name w:val="object"/>
    <w:basedOn w:val="840"/>
  </w:style>
  <w:style w:type="paragraph" w:styleId="849">
    <w:name w:val="Normal (Web)"/>
    <w:basedOn w:val="83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0">
    <w:name w:val="Emphasis"/>
    <w:basedOn w:val="840"/>
    <w:uiPriority w:val="20"/>
    <w:qFormat/>
    <w:rPr>
      <w:i/>
      <w:iCs/>
    </w:rPr>
  </w:style>
  <w:style w:type="paragraph" w:styleId="851">
    <w:name w:val="Header"/>
    <w:basedOn w:val="839"/>
    <w:link w:val="85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2" w:customStyle="1">
    <w:name w:val="Верхний колонтитул Знак"/>
    <w:basedOn w:val="840"/>
    <w:link w:val="851"/>
    <w:uiPriority w:val="99"/>
  </w:style>
  <w:style w:type="paragraph" w:styleId="853">
    <w:name w:val="Footer"/>
    <w:basedOn w:val="839"/>
    <w:link w:val="85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4" w:customStyle="1">
    <w:name w:val="Нижний колонтитул Знак"/>
    <w:basedOn w:val="840"/>
    <w:link w:val="853"/>
    <w:uiPriority w:val="99"/>
  </w:style>
  <w:style w:type="paragraph" w:styleId="855">
    <w:name w:val="Body Text"/>
    <w:basedOn w:val="839"/>
    <w:link w:val="857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6" w:customStyle="1">
    <w:name w:val="Основной текст Знак"/>
    <w:basedOn w:val="840"/>
    <w:uiPriority w:val="99"/>
    <w:semiHidden/>
  </w:style>
  <w:style w:type="character" w:styleId="857" w:customStyle="1">
    <w:name w:val="Основной текст Знак1"/>
    <w:basedOn w:val="840"/>
    <w:link w:val="855"/>
    <w:rPr>
      <w:rFonts w:ascii="Arial" w:hAnsi="Arial" w:eastAsia="Times New Roman" w:cs="Arial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Гоманенко</cp:lastModifiedBy>
  <cp:revision>57</cp:revision>
  <dcterms:created xsi:type="dcterms:W3CDTF">2022-09-29T02:49:00Z</dcterms:created>
  <dcterms:modified xsi:type="dcterms:W3CDTF">2026-06-03T03:44:09Z</dcterms:modified>
</cp:coreProperties>
</file>