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9"/>
        <w:tblW w:w="10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56"/>
        <w:gridCol w:w="5409"/>
      </w:tblGrid>
      <w:tr>
        <w:tblPrEx/>
        <w:trPr>
          <w:trHeight w:val="994"/>
        </w:trPr>
        <w:tc>
          <w:tcPr>
            <w:tcW w:w="4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11591" cy="1190625"/>
                      <wp:effectExtent l="0" t="0" r="8255" b="0"/>
                      <wp:docPr id="1" name="Рисунок 1" descr="C:\Users\gomanenko_gv\Desktop\герб длинный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gomanenko_gv\Desktop\герб длинный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91070" cy="12242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21.39pt;height:93.7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559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jc w:val="right"/>
              <w:rPr>
                <w:rFonts w:ascii="Inter V" w:hAnsi="Inter V" w:cs="Times New Roman"/>
                <w:b/>
              </w:rPr>
            </w:pP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</w:p>
        </w:tc>
      </w:tr>
    </w:tbl>
    <w:p>
      <w:pPr>
        <w:jc w:val="right"/>
        <w:spacing w:line="240" w:lineRule="auto"/>
        <w:tabs>
          <w:tab w:val="left" w:pos="567" w:leader="none"/>
        </w:tabs>
        <w:rPr>
          <w:rFonts w:ascii="PT Astra Sans" w:hAnsi="PT Astra Sans" w:cs="PT Astra Sans"/>
          <w:color w:val="202122"/>
          <w:sz w:val="26"/>
          <w:szCs w:val="26"/>
          <w:shd w:val="clear" w:color="auto" w:fill="ffffff"/>
        </w:rPr>
      </w:pPr>
      <w:r>
        <w:rPr>
          <w:rFonts w:ascii="PT Astra Sans" w:hAnsi="PT Astra Sans" w:eastAsia="PT Astra Sans" w:cs="PT Astra Sans"/>
          <w:color w:val="202122"/>
          <w:sz w:val="26"/>
          <w:szCs w:val="26"/>
          <w:shd w:val="clear" w:color="auto" w:fill="ffffff"/>
        </w:rPr>
        <w:t xml:space="preserve">19 мая 2026 года</w:t>
      </w:r>
      <w:r>
        <w:rPr>
          <w:rFonts w:ascii="PT Astra Sans" w:hAnsi="PT Astra Sans" w:cs="PT Astra Sans"/>
          <w:color w:val="202122"/>
          <w:sz w:val="26"/>
          <w:szCs w:val="26"/>
          <w:shd w:val="clear" w:color="auto" w:fill="ffffff"/>
        </w:rPr>
      </w:r>
      <w:r>
        <w:rPr>
          <w:rFonts w:ascii="PT Astra Sans" w:hAnsi="PT Astra Sans" w:cs="PT Astra Sans"/>
          <w:color w:val="202122"/>
          <w:sz w:val="26"/>
          <w:szCs w:val="26"/>
          <w:shd w:val="clear" w:color="auto" w:fill="ffffff"/>
        </w:rPr>
      </w:r>
    </w:p>
    <w:p>
      <w:pPr>
        <w:rPr>
          <w:rFonts w:ascii="PT Astra Sans" w:hAnsi="PT Astra Sans" w:cs="PT Astra Sans"/>
          <w:sz w:val="22"/>
          <w:szCs w:val="22"/>
        </w:rPr>
      </w:pPr>
      <w:r>
        <w:rPr>
          <w:rFonts w:ascii="PT Astra Sans" w:hAnsi="PT Astra Sans" w:eastAsia="PT Astra Sans" w:cs="PT Astra Sans"/>
          <w:sz w:val="22"/>
          <w:szCs w:val="22"/>
        </w:rPr>
      </w:r>
      <w:r>
        <w:rPr>
          <w:rFonts w:ascii="PT Astra Sans" w:hAnsi="PT Astra Sans" w:cs="PT Astra Sans"/>
          <w:sz w:val="22"/>
          <w:szCs w:val="22"/>
        </w:rPr>
      </w:r>
      <w:r>
        <w:rPr>
          <w:rFonts w:ascii="PT Astra Sans" w:hAnsi="PT Astra Sans" w:cs="PT Astra Sans"/>
          <w:sz w:val="22"/>
          <w:szCs w:val="22"/>
        </w:rPr>
      </w:r>
    </w:p>
    <w:p>
      <w:pPr>
        <w:pStyle w:val="831"/>
        <w:jc w:val="both"/>
        <w:rPr>
          <w:rFonts w:ascii="PT Astra Serif" w:hAnsi="PT Astra Serif" w:eastAsia="PT Astra Serif" w:cs="PT Astra Serif"/>
          <w:b/>
          <w:bCs/>
          <w:highlight w:val="none"/>
        </w:rPr>
      </w:pPr>
      <w:r>
        <w:rPr>
          <w:rFonts w:ascii="PT Astra Serif" w:hAnsi="PT Astra Serif" w:eastAsia="PT Astra Serif" w:cs="PT Astra Serif"/>
          <w:b/>
          <w:bCs/>
        </w:rPr>
        <w:t xml:space="preserve">Материнский (семейный) капитал – как оформить право?</w:t>
      </w:r>
      <w:r>
        <w:rPr>
          <w:rFonts w:ascii="PT Astra Serif" w:hAnsi="PT Astra Serif" w:eastAsia="PT Astra Serif" w:cs="PT Astra Serif"/>
          <w:b/>
          <w:bCs/>
        </w:rPr>
      </w:r>
    </w:p>
    <w:p>
      <w:pPr>
        <w:jc w:val="both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highlight w:val="none"/>
        </w:rPr>
      </w:r>
      <w:r>
        <w:rPr>
          <w:rFonts w:ascii="PT Astra Serif" w:hAnsi="PT Astra Serif" w:eastAsia="PT Astra Serif" w:cs="PT Astra Serif"/>
          <w:b/>
          <w:bCs/>
          <w:highlight w:val="none"/>
        </w:rPr>
      </w:r>
    </w:p>
    <w:p>
      <w:pPr>
        <w:pStyle w:val="831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Одна из важных мер государственной поддержки семей с детьми – выплата материнского (семейного) капитала, который в числе прочего можно использовать на улучшение жилищных условий семьи.</w:t>
      </w:r>
      <w:r>
        <w:rPr>
          <w:rFonts w:ascii="PT Astra Serif" w:hAnsi="PT Astra Serif" w:eastAsia="PT Astra Serif" w:cs="PT Astra Serif"/>
        </w:rPr>
      </w:r>
    </w:p>
    <w:p>
      <w:pPr>
        <w:pStyle w:val="831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При этом закон устанавливает для таких ситуаций конкретные условия и правила, которые нужно знать, чтобы ваши права на недвижимость в дальнейшем не были оспорены.</w:t>
      </w:r>
      <w:r>
        <w:rPr>
          <w:rFonts w:ascii="PT Astra Serif" w:hAnsi="PT Astra Serif" w:eastAsia="PT Astra Serif" w:cs="PT Astra Serif"/>
        </w:rPr>
      </w:r>
    </w:p>
    <w:p>
      <w:pPr>
        <w:pStyle w:val="831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Документом, подтверждающим право на такие выплаты, является государственный сертификат на материнский капитал, это именной документ. </w:t>
      </w:r>
      <w:r>
        <w:rPr>
          <w:rFonts w:ascii="PT Astra Serif" w:hAnsi="PT Astra Serif" w:eastAsia="PT Astra Serif" w:cs="PT Astra Serif"/>
        </w:rPr>
      </w:r>
    </w:p>
    <w:p>
      <w:pPr>
        <w:pStyle w:val="831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Как пояснила заместитель руководителя Управления Росреестра по Иркутской области Оксана Викторовна Арсентьева, средства материнского капитала можно использовать не только для приобретения жилья, но и для строительства или реконструкции объекта индивидуально</w:t>
      </w:r>
      <w:r>
        <w:rPr>
          <w:rFonts w:ascii="PT Astra Serif" w:hAnsi="PT Astra Serif" w:eastAsia="PT Astra Serif" w:cs="PT Astra Serif"/>
        </w:rPr>
        <w:t xml:space="preserve">го жилищного строительства, осуществляемые гражданами самостоятельно, без привлечения каких-либо организаций, а также для уплаты первоначального взноса, погашения основного долга и уплаты процентов по кредиту.</w:t>
      </w:r>
      <w:r>
        <w:rPr>
          <w:rFonts w:ascii="PT Astra Serif" w:hAnsi="PT Astra Serif" w:eastAsia="PT Astra Serif" w:cs="PT Astra Serif"/>
        </w:rPr>
      </w:r>
    </w:p>
    <w:p>
      <w:pPr>
        <w:pStyle w:val="831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Важно отметить, что жилье, приобретенное с использованием средств материнского капитала, необходимо оформить в общую собственность всей семьи – родителей и детей. Доли в праве собственности при этом определяются в договоре о приобретении жилья или в отдельн</w:t>
      </w:r>
      <w:r>
        <w:rPr>
          <w:rFonts w:ascii="PT Astra Serif" w:hAnsi="PT Astra Serif" w:eastAsia="PT Astra Serif" w:cs="PT Astra Serif"/>
        </w:rPr>
        <w:t xml:space="preserve">ом соглашении. </w:t>
      </w:r>
      <w:r>
        <w:rPr>
          <w:rFonts w:ascii="PT Astra Serif" w:hAnsi="PT Astra Serif" w:eastAsia="PT Astra Serif" w:cs="PT Astra Serif"/>
        </w:rPr>
      </w:r>
    </w:p>
    <w:p>
      <w:pPr>
        <w:pStyle w:val="831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То есть собственниками приобретенного жилья должны стать не только родители, но и дети, так закон защищает их имущественные права. При этом доли у членов семьи могут быть равными или нет, по вашему усмотрению.</w:t>
      </w:r>
      <w:r>
        <w:rPr>
          <w:rFonts w:ascii="PT Astra Serif" w:hAnsi="PT Astra Serif" w:eastAsia="PT Astra Serif" w:cs="PT Astra Serif"/>
        </w:rPr>
      </w:r>
    </w:p>
    <w:p>
      <w:pPr>
        <w:pStyle w:val="831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По словам члена Правления Нотариальной палаты Иркутской области, председателя Общественного совета при Управлении Росреестра по Иркутской области Татьяны Степановны Милославской, если жилье приобретается не только за счет средств материнского капитала, но и</w:t>
      </w:r>
      <w:r>
        <w:rPr>
          <w:rFonts w:ascii="PT Astra Serif" w:hAnsi="PT Astra Serif" w:eastAsia="PT Astra Serif" w:cs="PT Astra Serif"/>
        </w:rPr>
        <w:t xml:space="preserve"> за счет собственных средств супругов, такой договор будет подлежать обязательному удостоверению у нотариуса, и только после этого можно будет зарегистрировать право собственности. Если потребуется, нотариус также поможет направить необходимые документы в Р</w:t>
      </w:r>
      <w:r>
        <w:rPr>
          <w:rFonts w:ascii="PT Astra Serif" w:hAnsi="PT Astra Serif" w:eastAsia="PT Astra Serif" w:cs="PT Astra Serif"/>
        </w:rPr>
        <w:t xml:space="preserve">осреестр для оформления вашего права.</w:t>
      </w:r>
      <w:r>
        <w:rPr>
          <w:rFonts w:ascii="PT Astra Serif" w:hAnsi="PT Astra Serif" w:eastAsia="PT Astra Serif" w:cs="PT Astra Serif"/>
        </w:rPr>
      </w:r>
    </w:p>
    <w:p>
      <w:pPr>
        <w:pStyle w:val="831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 Обратите внимание, что по закону индивидуальный жилой дом приобретается только вместе с земельным участком, на котором он расположен. Но при этом средства материнского капитала можно использовать только на приобретение жилья, но не земли. Участок нужно буд</w:t>
      </w:r>
      <w:r>
        <w:rPr>
          <w:rFonts w:ascii="PT Astra Serif" w:hAnsi="PT Astra Serif" w:eastAsia="PT Astra Serif" w:cs="PT Astra Serif"/>
        </w:rPr>
        <w:t xml:space="preserve">ет приобретать за счет собственных средств.</w:t>
      </w:r>
      <w:r>
        <w:rPr>
          <w:rFonts w:ascii="PT Astra Serif" w:hAnsi="PT Astra Serif" w:eastAsia="PT Astra Serif" w:cs="PT Astra Serif"/>
        </w:rPr>
      </w:r>
    </w:p>
    <w:p>
      <w:pPr>
        <w:pStyle w:val="831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Вопросы по данной теме можно задать по бесплатному справочному телефону Управления Росреестра по Иркутской области 8(3952) 450-150.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831"/>
        <w:jc w:val="both"/>
        <w:rPr>
          <w:rFonts w:ascii="PT Astra Serif" w:hAnsi="PT Astra Serif" w:cs="PT Astra Serif"/>
          <w:i w:val="0"/>
          <w:iCs w:val="0"/>
          <w:sz w:val="24"/>
          <w:szCs w:val="24"/>
        </w:rPr>
      </w:pPr>
      <w:r>
        <w:rPr>
          <w:rFonts w:ascii="PT Astra Serif" w:hAnsi="PT Astra Serif" w:cs="PT Astra Serif"/>
          <w:i w:val="0"/>
          <w:iCs w:val="0"/>
          <w:sz w:val="24"/>
          <w:szCs w:val="24"/>
        </w:rPr>
      </w:r>
      <w:r>
        <w:rPr>
          <w:rFonts w:ascii="PT Astra Serif" w:hAnsi="PT Astra Serif" w:cs="PT Astra Serif"/>
          <w:i w:val="0"/>
          <w:iCs w:val="0"/>
          <w:sz w:val="24"/>
          <w:szCs w:val="24"/>
        </w:rPr>
      </w:r>
      <w:r>
        <w:rPr>
          <w:rFonts w:ascii="PT Astra Serif" w:hAnsi="PT Astra Serif" w:cs="PT Astra Serif"/>
          <w:i w:val="0"/>
          <w:iCs w:val="0"/>
          <w:sz w:val="24"/>
          <w:szCs w:val="24"/>
        </w:rPr>
      </w:r>
    </w:p>
    <w:p>
      <w:pPr>
        <w:ind w:left="0" w:right="0" w:firstLine="0"/>
        <w:jc w:val="both"/>
        <w:rPr>
          <w:rFonts w:ascii="PT Astra Serif" w:hAnsi="PT Astra Serif" w:cs="PT Astra Serif"/>
          <w:i/>
          <w:iCs/>
        </w:rPr>
      </w:pPr>
      <w:r>
        <w:rPr>
          <w:rFonts w:ascii="PT Astra Serif" w:hAnsi="PT Astra Serif" w:eastAsia="PT Astra Serif" w:cs="PT Astra Serif"/>
          <w:i/>
          <w:iCs/>
        </w:rPr>
      </w:r>
      <w:r>
        <w:rPr>
          <w:rFonts w:ascii="PT Astra Serif" w:hAnsi="PT Astra Serif" w:cs="PT Astra Serif"/>
          <w:i/>
          <w:iCs/>
        </w:rPr>
        <w:t xml:space="preserve">Пресс-служба Управления Росреестра по Иркутской области</w:t>
      </w:r>
      <w:r>
        <w:rPr>
          <w:rFonts w:ascii="PT Astra Serif" w:hAnsi="PT Astra Serif" w:cs="PT Astra Serif"/>
          <w:i/>
          <w:iCs/>
        </w:rPr>
      </w:r>
    </w:p>
    <w:p>
      <w:pPr>
        <w:ind w:left="0" w:right="0" w:firstLine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849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ans">
    <w:panose1 w:val="020B0603020203020204"/>
  </w:font>
  <w:font w:name="Times New Roman">
    <w:panose1 w:val="02020603050405020304"/>
  </w:font>
  <w:font w:name="Inter V">
    <w:panose1 w:val="02000603000000000000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2"/>
    <w:link w:val="835"/>
    <w:uiPriority w:val="99"/>
    <w:semiHidden/>
    <w:rPr>
      <w:rFonts w:ascii="Segoe UI" w:hAnsi="Segoe UI" w:cs="Segoe UI"/>
      <w:sz w:val="18"/>
      <w:szCs w:val="18"/>
    </w:rPr>
  </w:style>
  <w:style w:type="character" w:styleId="837">
    <w:name w:val="Hyperlink"/>
    <w:basedOn w:val="832"/>
    <w:uiPriority w:val="99"/>
    <w:unhideWhenUsed/>
    <w:rPr>
      <w:color w:val="0563c1" w:themeColor="hyperlink"/>
      <w:u w:val="single"/>
    </w:rPr>
  </w:style>
  <w:style w:type="paragraph" w:styleId="838">
    <w:name w:val="List Paragraph"/>
    <w:basedOn w:val="831"/>
    <w:uiPriority w:val="34"/>
    <w:qFormat/>
    <w:pPr>
      <w:contextualSpacing/>
      <w:ind w:left="720"/>
    </w:pPr>
  </w:style>
  <w:style w:type="table" w:styleId="839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0" w:customStyle="1">
    <w:name w:val="object"/>
    <w:basedOn w:val="832"/>
  </w:style>
  <w:style w:type="paragraph" w:styleId="841">
    <w:name w:val="Normal (Web)"/>
    <w:basedOn w:val="8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2">
    <w:name w:val="Strong"/>
    <w:basedOn w:val="832"/>
    <w:uiPriority w:val="22"/>
    <w:qFormat/>
    <w:rPr>
      <w:b/>
      <w:bCs/>
    </w:rPr>
  </w:style>
  <w:style w:type="character" w:styleId="843">
    <w:name w:val="Emphasis"/>
    <w:basedOn w:val="832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0731-50C2-48B4-ABE6-4C8323D0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zhilyaev</cp:lastModifiedBy>
  <cp:revision>33</cp:revision>
  <dcterms:created xsi:type="dcterms:W3CDTF">2024-02-13T03:39:00Z</dcterms:created>
  <dcterms:modified xsi:type="dcterms:W3CDTF">2026-05-05T04:00:45Z</dcterms:modified>
</cp:coreProperties>
</file>