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5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12 марта 2026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/>
        <w:jc w:val="both"/>
        <w:spacing w:after="0" w:line="276" w:lineRule="auto"/>
        <w:tabs>
          <w:tab w:val="left" w:pos="0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/>
        <w:jc w:val="both"/>
        <w:spacing w:after="0" w:line="276" w:lineRule="auto"/>
        <w:tabs>
          <w:tab w:val="left" w:pos="0" w:leader="none"/>
        </w:tabs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Комплексные кадастровые работы проводятся в Иркутской области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ind w:left="0"/>
        <w:jc w:val="both"/>
        <w:spacing w:after="0" w:line="276" w:lineRule="auto"/>
        <w:tabs>
          <w:tab w:val="left" w:pos="0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tabs>
          <w:tab w:val="left" w:pos="0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36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  <w:t xml:space="preserve">В Иркутской области в 2026 году пройдут комплексные кадастровые работы федерального значения, они охватят 117 кадастровых кварталов, в границах которых будут уточнены границы и местоположение более 25 тысяч объектов недвижимости.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36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Перечень муниципальных образований, на территории которых будут проводиться комплексные кадастровые работы размещен на официальном сайте Росреестра в разделе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  <w:t xml:space="preserve">«Открытая служба» - «Статистика и Аналитика» – Иркутская область - «Комплексные кадастровые работы»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  <w:t xml:space="preserve">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36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«Владельцам земельных участков такие работы позволят сэкономить собственные средства, поскольку уточнение координат их границ будет проведено за счет бюджетных средств», – отметил исполняющий обязанности заместителя руководителя Управления Росреестра  Евгений Богданович Мельничук.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36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  <w:t xml:space="preserve">Извещение о начале выполнения комплексных кадастровых работ направлено правообладателям земельных участков посредством портала Госуслуг либо на адрес электронной почты.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  <w:t xml:space="preserve"> С извещением также можно ознакомиться по ссылке: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</w:r>
      <w:hyperlink r:id="rId10" w:tooltip="https://rosreestr.gov.ru/open-service/statistika-i-analitika/kompleks-kadastr-rabot38/izv-nachal-kkr-irk-obls/2026/." w:history="1">
        <w:r>
          <w:rPr>
            <w:rStyle w:val="843"/>
            <w:rFonts w:ascii="Liberation Sans" w:hAnsi="Liberation Sans" w:eastAsia="Liberation Sans" w:cs="Liberation Sans"/>
            <w:color w:val="000000" w:themeColor="text1"/>
            <w:sz w:val="24"/>
            <w:szCs w:val="24"/>
            <w14:ligatures w14:val="none"/>
          </w:rPr>
          <w:t xml:space="preserve">https://rosreestr.gov.ru/open-service/statistika-i-analitika/kompleks-kadastr-rabot38/izv-nachal-kkr-irk-obls/2026/</w:t>
        </w:r>
        <w:r>
          <w:rPr>
            <w:rStyle w:val="843"/>
            <w:rFonts w:ascii="Liberation Sans" w:hAnsi="Liberation Sans" w:eastAsia="Liberation Sans" w:cs="Liberation Sans"/>
            <w:color w:val="000000" w:themeColor="text1"/>
            <w:sz w:val="24"/>
            <w:szCs w:val="24"/>
            <w14:ligatures w14:val="none"/>
          </w:rPr>
        </w:r>
        <w:r>
          <w:rPr>
            <w:rStyle w:val="843"/>
          </w:rPr>
        </w:r>
        <w:r>
          <w:rPr>
            <w:rStyle w:val="843"/>
            <w:rFonts w:ascii="Liberation Sans" w:hAnsi="Liberation Sans" w:eastAsia="Liberation Sans" w:cs="Liberation Sans"/>
            <w:color w:val="000000" w:themeColor="text1"/>
            <w:sz w:val="24"/>
            <w:szCs w:val="24"/>
            <w14:ligatures w14:val="none"/>
          </w:rPr>
        </w:r>
      </w:hyperlink>
      <w:r>
        <w:rPr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360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</w:rPr>
      </w:r>
    </w:p>
    <w:p>
      <w:pPr>
        <w:ind w:left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7"/>
    <w:next w:val="837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38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7"/>
    <w:next w:val="837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38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38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38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38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3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38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38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7"/>
    <w:next w:val="837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38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37"/>
    <w:next w:val="837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38"/>
    <w:link w:val="683"/>
    <w:uiPriority w:val="10"/>
    <w:rPr>
      <w:sz w:val="48"/>
      <w:szCs w:val="48"/>
    </w:rPr>
  </w:style>
  <w:style w:type="paragraph" w:styleId="685">
    <w:name w:val="Subtitle"/>
    <w:basedOn w:val="837"/>
    <w:next w:val="837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8"/>
    <w:link w:val="685"/>
    <w:uiPriority w:val="11"/>
    <w:rPr>
      <w:sz w:val="24"/>
      <w:szCs w:val="24"/>
    </w:rPr>
  </w:style>
  <w:style w:type="paragraph" w:styleId="687">
    <w:name w:val="Quote"/>
    <w:basedOn w:val="837"/>
    <w:next w:val="837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7"/>
    <w:next w:val="837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8"/>
    <w:link w:val="849"/>
    <w:uiPriority w:val="99"/>
  </w:style>
  <w:style w:type="character" w:styleId="692">
    <w:name w:val="Footer Char"/>
    <w:basedOn w:val="838"/>
    <w:link w:val="851"/>
    <w:uiPriority w:val="99"/>
  </w:style>
  <w:style w:type="paragraph" w:styleId="693">
    <w:name w:val="Caption"/>
    <w:basedOn w:val="837"/>
    <w:next w:val="837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851"/>
    <w:uiPriority w:val="99"/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Balloon Text"/>
    <w:basedOn w:val="837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8"/>
    <w:link w:val="841"/>
    <w:uiPriority w:val="99"/>
    <w:semiHidden/>
    <w:rPr>
      <w:rFonts w:ascii="Segoe UI" w:hAnsi="Segoe UI" w:cs="Segoe UI"/>
      <w:sz w:val="18"/>
      <w:szCs w:val="18"/>
    </w:rPr>
  </w:style>
  <w:style w:type="character" w:styleId="843">
    <w:name w:val="Hyperlink"/>
    <w:basedOn w:val="838"/>
    <w:uiPriority w:val="99"/>
    <w:unhideWhenUsed/>
    <w:rPr>
      <w:color w:val="0563c1" w:themeColor="hyperlink"/>
      <w:u w:val="single"/>
    </w:rPr>
  </w:style>
  <w:style w:type="paragraph" w:styleId="844">
    <w:name w:val="List Paragraph"/>
    <w:basedOn w:val="837"/>
    <w:uiPriority w:val="34"/>
    <w:qFormat/>
    <w:pPr>
      <w:contextualSpacing/>
      <w:ind w:left="720"/>
    </w:pPr>
  </w:style>
  <w:style w:type="table" w:styleId="845">
    <w:name w:val="Table Grid"/>
    <w:basedOn w:val="83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6" w:customStyle="1">
    <w:name w:val="object"/>
    <w:basedOn w:val="838"/>
  </w:style>
  <w:style w:type="paragraph" w:styleId="847">
    <w:name w:val="Normal (Web)"/>
    <w:basedOn w:val="83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>
    <w:name w:val="Emphasis"/>
    <w:basedOn w:val="838"/>
    <w:uiPriority w:val="20"/>
    <w:qFormat/>
    <w:rPr>
      <w:i/>
      <w:iCs/>
    </w:rPr>
  </w:style>
  <w:style w:type="paragraph" w:styleId="849">
    <w:name w:val="Header"/>
    <w:basedOn w:val="837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838"/>
    <w:link w:val="849"/>
    <w:uiPriority w:val="99"/>
  </w:style>
  <w:style w:type="paragraph" w:styleId="851">
    <w:name w:val="Footer"/>
    <w:basedOn w:val="837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838"/>
    <w:link w:val="851"/>
    <w:uiPriority w:val="99"/>
  </w:style>
  <w:style w:type="paragraph" w:styleId="853">
    <w:name w:val="Body Text"/>
    <w:basedOn w:val="837"/>
    <w:link w:val="855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54" w:customStyle="1">
    <w:name w:val="Основной текст Знак"/>
    <w:basedOn w:val="838"/>
    <w:uiPriority w:val="99"/>
    <w:semiHidden/>
  </w:style>
  <w:style w:type="character" w:styleId="855" w:customStyle="1">
    <w:name w:val="Основной текст Знак1"/>
    <w:basedOn w:val="838"/>
    <w:link w:val="853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rosreestr.gov.ru/open-service/statistika-i-analitika/kompleks-kadastr-rabot38/izv-nachal-kkr-irk-obls/2026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52</cp:revision>
  <dcterms:created xsi:type="dcterms:W3CDTF">2022-09-29T02:49:00Z</dcterms:created>
  <dcterms:modified xsi:type="dcterms:W3CDTF">2026-03-12T02:53:08Z</dcterms:modified>
</cp:coreProperties>
</file>