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4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11  июня 2026</w:t>
            </w:r>
            <w:r>
              <w:rPr>
                <w:rFonts w:cs="Times New Roman"/>
                <w:sz w:val="24"/>
                <w:szCs w:val="24"/>
              </w:rPr>
              <w:t xml:space="preserve">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0"/>
        <w:jc w:val="both"/>
        <w:spacing w:after="0" w:line="276" w:lineRule="auto"/>
        <w:tabs>
          <w:tab w:val="left" w:pos="0" w:leader="none"/>
        </w:tabs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ind w:left="0"/>
        <w:jc w:val="both"/>
        <w:spacing w:after="0" w:line="276" w:lineRule="auto"/>
        <w:tabs>
          <w:tab w:val="left" w:pos="0" w:leader="none"/>
          <w:tab w:val="center" w:pos="5103" w:leader="none"/>
        </w:tabs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  <w:t xml:space="preserve">Росреестр уточнил порядок изменения договора долевого строительства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tabs>
          <w:tab w:val="left" w:pos="2879" w:leader="none"/>
        </w:tabs>
        <w:rPr>
          <w:rFonts w:ascii="Liberation Sans" w:hAnsi="Liberation Sans" w:eastAsia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При приобретении жилья в ипотеку в строящемся доме может возникнуть необходимость в изменении важных условий договора, заключенного дольщиком с застройщиком, например если изменился срок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передачи объекта долевого строительства, цена договора, характеристики строящегося объекта. Также как сам договор долевого участия, так и новые условия такого договора нужно регистрировать в Росреестре, однако без согласия банка этого сделать не получится.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tabs>
          <w:tab w:val="left" w:pos="2879" w:leader="none"/>
        </w:tabs>
        <w:rPr>
          <w:rFonts w:ascii="Liberation Sans" w:hAnsi="Liberation Sans" w:eastAsia="Liberation Sans" w:cs="Liberation Sans"/>
          <w:color w:val="0000ff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none"/>
        </w:rPr>
        <w:t xml:space="preserve">В таком случае на государственную регистрацию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  <w:highlight w:val="none"/>
        </w:rPr>
        <w:t xml:space="preserve">наряду с дополнительным соглашением должно быть представлено заблаговременно полученное участником долевого строительства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</w:rPr>
        <w:t xml:space="preserve">письменное согласие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</w:rPr>
        <w:t xml:space="preserve">залогодержателя на заключение дополнительного соглашения к договору участия в долевом строительстве, чье право требования по договору находится в залоге. Это </w:t>
      </w:r>
      <w:r>
        <w:rPr>
          <w:rFonts w:ascii="Liberation Sans" w:hAnsi="Liberation Sans" w:eastAsia="Liberation Sans" w:cs="Liberation Sans"/>
          <w:i/>
          <w:iCs/>
          <w:color w:val="000000"/>
          <w:sz w:val="24"/>
          <w:szCs w:val="24"/>
        </w:rPr>
        <w:t xml:space="preserve">предусмотрено статьей 53 Закона о государственной регистрации недвижимости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», – поясняет начальник отдела регистрации недвижимости № 2 Управления Росреестра по Иркутской области Эльвира Анатольевна Демидович.</w:t>
      </w:r>
      <w:r>
        <w:rPr>
          <w:rFonts w:ascii="Liberation Sans" w:hAnsi="Liberation Sans" w:eastAsia="Liberation Sans" w:cs="Liberation Sans"/>
          <w:color w:val="0000ff"/>
          <w:sz w:val="24"/>
          <w:szCs w:val="24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color w:val="0000ff"/>
          <w:sz w:val="24"/>
          <w:szCs w:val="24"/>
          <w:u w:val="none"/>
        </w:rPr>
      </w:r>
    </w:p>
    <w:p>
      <w:pPr>
        <w:ind w:left="0" w:right="0" w:firstLine="540"/>
        <w:jc w:val="both"/>
        <w:spacing w:before="0" w:after="0" w:line="288" w:lineRule="atLeast"/>
        <w:tabs>
          <w:tab w:val="left" w:pos="2879" w:leader="none"/>
        </w:tabs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ff"/>
          <w:sz w:val="24"/>
          <w:szCs w:val="24"/>
          <w:u w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  <w:t xml:space="preserve">Согласие залогодержат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  <w:t xml:space="preserve">еля – это не просто формальность при изменении договора, а важнейшие условия законности таких действий. Его отсутствие может привести к серьезным финансовым потерям и приостановлению государственной регистрации, то есть результат в итоге получен не будет.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tabs>
          <w:tab w:val="left" w:pos="2879" w:leader="none"/>
        </w:tabs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  <w:t xml:space="preserve">Логика закона проста: банк выдал кредит под залог права требования по договору и вправе контролировать его судьбу, чтобы его интересы не пострадали.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tabs>
          <w:tab w:val="left" w:pos="2879" w:leader="none"/>
        </w:tabs>
        <w:rPr>
          <w:rFonts w:ascii="Liberation Sans" w:hAnsi="Liberation Sans" w:eastAsia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  <w:t xml:space="preserve">З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аявления о государственной регистрации договоров участия в долевом строительстве, дополнительных со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глашений  к ним  и прилагаемые  документы направляются в орган регистрации прав только в форме электронных документов, вместе с тем согласие залогодержателя может быть представлено на регистрацию в форме бумажного документа дополнительно к обращению через 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  <w:u w:val="none"/>
          <w:lang w:eastAsia="en-US"/>
        </w:rPr>
        <w:t xml:space="preserve">офис МФЦ.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14:ligatures w14:val="none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ü"/>
      <w:lvlJc w:val="left"/>
      <w:pPr>
        <w:ind w:left="1418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9"/>
    <w:next w:val="839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0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9"/>
    <w:next w:val="839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0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0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0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0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0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9"/>
    <w:next w:val="839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0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9"/>
    <w:next w:val="839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0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39"/>
    <w:next w:val="839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0"/>
    <w:link w:val="685"/>
    <w:uiPriority w:val="10"/>
    <w:rPr>
      <w:sz w:val="48"/>
      <w:szCs w:val="48"/>
    </w:rPr>
  </w:style>
  <w:style w:type="paragraph" w:styleId="687">
    <w:name w:val="Subtitle"/>
    <w:basedOn w:val="839"/>
    <w:next w:val="839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0"/>
    <w:link w:val="687"/>
    <w:uiPriority w:val="11"/>
    <w:rPr>
      <w:sz w:val="24"/>
      <w:szCs w:val="24"/>
    </w:rPr>
  </w:style>
  <w:style w:type="paragraph" w:styleId="689">
    <w:name w:val="Quote"/>
    <w:basedOn w:val="839"/>
    <w:next w:val="839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39"/>
    <w:next w:val="839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0"/>
    <w:link w:val="851"/>
    <w:uiPriority w:val="99"/>
  </w:style>
  <w:style w:type="character" w:styleId="694">
    <w:name w:val="Footer Char"/>
    <w:basedOn w:val="840"/>
    <w:link w:val="853"/>
    <w:uiPriority w:val="99"/>
  </w:style>
  <w:style w:type="paragraph" w:styleId="695">
    <w:name w:val="Caption"/>
    <w:basedOn w:val="839"/>
    <w:next w:val="839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853"/>
    <w:uiPriority w:val="99"/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Balloon Text"/>
    <w:basedOn w:val="839"/>
    <w:link w:val="84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4" w:customStyle="1">
    <w:name w:val="Текст выноски Знак"/>
    <w:basedOn w:val="840"/>
    <w:link w:val="843"/>
    <w:uiPriority w:val="99"/>
    <w:semiHidden/>
    <w:rPr>
      <w:rFonts w:ascii="Segoe UI" w:hAnsi="Segoe UI" w:cs="Segoe UI"/>
      <w:sz w:val="18"/>
      <w:szCs w:val="18"/>
    </w:rPr>
  </w:style>
  <w:style w:type="character" w:styleId="845">
    <w:name w:val="Hyperlink"/>
    <w:basedOn w:val="840"/>
    <w:uiPriority w:val="99"/>
    <w:unhideWhenUsed/>
    <w:rPr>
      <w:color w:val="0563c1" w:themeColor="hyperlink"/>
      <w:u w:val="single"/>
    </w:rPr>
  </w:style>
  <w:style w:type="paragraph" w:styleId="846">
    <w:name w:val="List Paragraph"/>
    <w:basedOn w:val="839"/>
    <w:uiPriority w:val="34"/>
    <w:qFormat/>
    <w:pPr>
      <w:contextualSpacing/>
      <w:ind w:left="720"/>
    </w:pPr>
  </w:style>
  <w:style w:type="table" w:styleId="847">
    <w:name w:val="Table Grid"/>
    <w:basedOn w:val="84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8" w:customStyle="1">
    <w:name w:val="object"/>
    <w:basedOn w:val="840"/>
  </w:style>
  <w:style w:type="paragraph" w:styleId="849">
    <w:name w:val="Normal (Web)"/>
    <w:basedOn w:val="83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0">
    <w:name w:val="Emphasis"/>
    <w:basedOn w:val="840"/>
    <w:uiPriority w:val="20"/>
    <w:qFormat/>
    <w:rPr>
      <w:i/>
      <w:iCs/>
    </w:rPr>
  </w:style>
  <w:style w:type="paragraph" w:styleId="851">
    <w:name w:val="Header"/>
    <w:basedOn w:val="839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basedOn w:val="840"/>
    <w:link w:val="851"/>
    <w:uiPriority w:val="99"/>
  </w:style>
  <w:style w:type="paragraph" w:styleId="853">
    <w:name w:val="Footer"/>
    <w:basedOn w:val="839"/>
    <w:link w:val="8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basedOn w:val="840"/>
    <w:link w:val="853"/>
    <w:uiPriority w:val="99"/>
  </w:style>
  <w:style w:type="paragraph" w:styleId="855">
    <w:name w:val="Body Text"/>
    <w:basedOn w:val="839"/>
    <w:link w:val="85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56" w:customStyle="1">
    <w:name w:val="Основной текст Знак"/>
    <w:basedOn w:val="840"/>
    <w:uiPriority w:val="99"/>
    <w:semiHidden/>
  </w:style>
  <w:style w:type="character" w:styleId="857" w:customStyle="1">
    <w:name w:val="Основной текст Знак1"/>
    <w:basedOn w:val="840"/>
    <w:link w:val="85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zhilyaev</cp:lastModifiedBy>
  <cp:revision>59</cp:revision>
  <dcterms:created xsi:type="dcterms:W3CDTF">2022-09-29T02:49:00Z</dcterms:created>
  <dcterms:modified xsi:type="dcterms:W3CDTF">2026-06-10T02:24:38Z</dcterms:modified>
</cp:coreProperties>
</file>