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6"/>
        <w:gridCol w:w="5559"/>
      </w:tblGrid>
      <w:tr>
        <w:tblPrEx/>
        <w:trPr>
          <w:trHeight w:val="426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Inter V" w:hAnsi="Inter V" w:cs="Times New Roman"/>
                <w:b/>
                <w:sz w:val="28"/>
                <w:szCs w:val="28"/>
              </w:rPr>
            </w:pPr>
            <w:r>
              <w:rPr>
                <w:rFonts w:ascii="Inter V" w:hAnsi="Inter V" w:cs="Times New Roman"/>
                <w:b/>
                <w:sz w:val="28"/>
                <w:szCs w:val="28"/>
              </w:rPr>
            </w:r>
            <w:r>
              <w:rPr>
                <w:rFonts w:ascii="Inter V" w:hAnsi="Inter V" w:cs="Times New Roman"/>
                <w:b/>
                <w:sz w:val="28"/>
                <w:szCs w:val="28"/>
              </w:rPr>
            </w:r>
            <w:r>
              <w:rPr>
                <w:rFonts w:ascii="Inter V" w:hAnsi="Inter V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994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26780" cy="942975"/>
                      <wp:effectExtent l="0" t="0" r="2540" b="0"/>
                      <wp:docPr id="1" name="Рисунок 1" descr="C:\Users\gomanenko_gv\Desktop\герб длинный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gomanenko_gv\Desktop\герб длинный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1727" cy="9662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75.34pt;height:74.25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jc w:val="right"/>
              <w:rPr>
                <w:rFonts w:ascii="Inter V" w:hAnsi="Inter V" w:cs="Times New Roman"/>
                <w:b/>
              </w:rPr>
            </w:pP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</w:p>
        </w:tc>
      </w:tr>
    </w:tbl>
    <w:p>
      <w:pPr>
        <w:jc w:val="right"/>
        <w:spacing w:line="240" w:lineRule="auto"/>
        <w:tabs>
          <w:tab w:val="left" w:pos="567" w:leader="none"/>
        </w:tabs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 xml:space="preserve">9 октября 2025</w:t>
      </w:r>
      <w:r>
        <w:rPr>
          <w:rFonts w:ascii="Arial" w:hAnsi="Arial" w:cs="Arial"/>
          <w:color w:val="202122"/>
          <w:shd w:val="clear" w:color="auto" w:fill="ffffff"/>
        </w:rPr>
        <w:t xml:space="preserve"> года</w:t>
      </w:r>
      <w:r>
        <w:rPr>
          <w:rFonts w:ascii="Arial" w:hAnsi="Arial" w:cs="Arial"/>
          <w:color w:val="202122"/>
          <w:shd w:val="clear" w:color="auto" w:fill="ffffff"/>
        </w:rPr>
      </w:r>
      <w:r>
        <w:rPr>
          <w:rFonts w:ascii="Arial" w:hAnsi="Arial" w:cs="Arial"/>
          <w:color w:val="202122"/>
          <w:shd w:val="clear" w:color="auto" w:fill="ffffff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r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PT Astra Serif" w:hAnsi="PT Astra Serif" w:cs="PT Astra Serif"/>
          <w:color w:val="202122"/>
          <w:sz w:val="24"/>
          <w:szCs w:val="24"/>
        </w:rPr>
      </w:r>
      <w:r>
        <w:rPr>
          <w:rFonts w:ascii="PT Astra Serif" w:hAnsi="PT Astra Serif" w:cs="PT Astra Serif"/>
          <w:color w:val="202122"/>
          <w:sz w:val="24"/>
          <w:szCs w:val="24"/>
        </w:rPr>
      </w:r>
      <w:r/>
    </w:p>
    <w:p>
      <w:pPr>
        <w:contextualSpacing w:val="0"/>
        <w:jc w:val="both"/>
        <w:spacing w:before="0" w:after="113" w:line="240" w:lineRule="auto"/>
        <w:suppressLineNumbers w:val="0"/>
      </w:pPr>
      <w:r>
        <w:rPr>
          <w:rFonts w:ascii="PT Astra Serif" w:hAnsi="PT Astra Serif" w:cs="PT Astra Serif"/>
          <w:b/>
          <w:bCs/>
          <w:color w:val="202122"/>
          <w:sz w:val="24"/>
          <w:szCs w:val="24"/>
        </w:rPr>
        <w:t xml:space="preserve">Как найти участок для строительства жилья</w:t>
      </w:r>
      <w:r>
        <w:rPr>
          <w:rFonts w:ascii="PT Astra Serif" w:hAnsi="PT Astra Serif" w:cs="PT Astra Serif"/>
          <w:color w:val="202122"/>
          <w:sz w:val="24"/>
          <w:szCs w:val="24"/>
        </w:rPr>
      </w:r>
    </w:p>
    <w:p>
      <w:pPr>
        <w:contextualSpacing w:val="0"/>
        <w:jc w:val="both"/>
        <w:spacing w:before="0" w:after="113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</w:r>
      <w:r>
        <w:rPr>
          <w:rFonts w:ascii="PT Astra Serif" w:hAnsi="PT Astra Serif" w:cs="PT Astra Serif"/>
          <w:color w:val="202122"/>
          <w:sz w:val="24"/>
          <w:szCs w:val="24"/>
        </w:rPr>
      </w:r>
    </w:p>
    <w:p>
      <w:pPr>
        <w:contextualSpacing w:val="0"/>
        <w:jc w:val="both"/>
        <w:spacing w:before="0" w:after="113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Поиск свободного земельного участка для строительства жилья – непростая задача, независимо от того, что планируется построить: небольшой частный или высотный многоквартирный дом.</w:t>
      </w:r>
      <w:r>
        <w:rPr>
          <w:rFonts w:ascii="PT Astra Serif" w:hAnsi="PT Astra Serif" w:cs="PT Astra Serif"/>
          <w:color w:val="202122"/>
          <w:sz w:val="24"/>
          <w:szCs w:val="24"/>
        </w:rPr>
      </w:r>
    </w:p>
    <w:p>
      <w:pPr>
        <w:contextualSpacing w:val="0"/>
        <w:jc w:val="both"/>
        <w:spacing w:before="0" w:after="113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Сегодня расскажем о сервисе «Земля для стройки», который может помочь в решении этой задачи.</w:t>
      </w:r>
      <w:r>
        <w:rPr>
          <w:rFonts w:ascii="PT Astra Serif" w:hAnsi="PT Astra Serif" w:cs="PT Astra Serif"/>
          <w:color w:val="202122"/>
          <w:sz w:val="24"/>
          <w:szCs w:val="24"/>
        </w:rPr>
      </w:r>
    </w:p>
    <w:p>
      <w:pPr>
        <w:contextualSpacing w:val="0"/>
        <w:jc w:val="both"/>
        <w:spacing w:before="0" w:after="113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Этот сервис появился благодаря внедрению в Иркутской области государственной программы НСПД (Национальная система пространственных данных).</w:t>
      </w:r>
      <w:r>
        <w:rPr>
          <w:rFonts w:ascii="PT Astra Serif" w:hAnsi="PT Astra Serif" w:cs="PT Astra Serif"/>
          <w:color w:val="202122"/>
          <w:sz w:val="24"/>
          <w:szCs w:val="24"/>
        </w:rPr>
      </w:r>
    </w:p>
    <w:p>
      <w:pPr>
        <w:contextualSpacing w:val="0"/>
        <w:jc w:val="both"/>
        <w:spacing w:before="0" w:after="113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Сервис позволяет найти варианты свободных земельных участков и территорий, которые подходят для строительства на них жилых домов.</w:t>
      </w:r>
      <w:r>
        <w:rPr>
          <w:rFonts w:ascii="PT Astra Serif" w:hAnsi="PT Astra Serif" w:cs="PT Astra Serif"/>
          <w:color w:val="202122"/>
          <w:sz w:val="24"/>
          <w:szCs w:val="24"/>
        </w:rPr>
      </w:r>
    </w:p>
    <w:p>
      <w:pPr>
        <w:contextualSpacing w:val="0"/>
        <w:jc w:val="both"/>
        <w:spacing w:before="0" w:after="113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Как поясняет заместитель руководителя Управления Росреестра по Иркутской области Лариса Михайловна Варфоломеева, за время действия в нашем регионе сервиса «Земля для стройки» с его помощью было предоставлено под строительство жилья уже 1229 земельных участк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ов и территорий. На этих землях построено более 38 тысяч кв.м. жилья, из них около 10 тысяч кв.м. – это индивидуальные жилые дома.</w:t>
      </w:r>
      <w:r>
        <w:rPr>
          <w:rFonts w:ascii="PT Astra Serif" w:hAnsi="PT Astra Serif" w:cs="PT Astra Serif"/>
          <w:color w:val="202122"/>
          <w:sz w:val="24"/>
          <w:szCs w:val="24"/>
        </w:rPr>
      </w:r>
    </w:p>
    <w:p>
      <w:pPr>
        <w:contextualSpacing w:val="0"/>
        <w:jc w:val="both"/>
        <w:spacing w:before="0" w:after="113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Как видно, сервис «Земля для стройки» имеет большое значение для нашего региона.</w:t>
      </w:r>
      <w:r>
        <w:rPr>
          <w:rFonts w:ascii="PT Astra Serif" w:hAnsi="PT Astra Serif" w:cs="PT Astra Serif"/>
          <w:color w:val="202122"/>
          <w:sz w:val="24"/>
          <w:szCs w:val="24"/>
        </w:rPr>
      </w:r>
    </w:p>
    <w:p>
      <w:pPr>
        <w:contextualSpacing w:val="0"/>
        <w:jc w:val="both"/>
        <w:spacing w:before="0" w:after="113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Напомним, что сервис «Земля для стройки» можно найти в разделе «Сервисы» на портале НСПД: https://nspd.gov.ru/ (для этого потребуется авторизация на портале Госуслуг). </w:t>
      </w:r>
      <w:r>
        <w:rPr>
          <w:rFonts w:ascii="PT Astra Serif" w:hAnsi="PT Astra Serif" w:cs="PT Astra Serif"/>
          <w:color w:val="202122"/>
          <w:sz w:val="24"/>
          <w:szCs w:val="24"/>
        </w:rPr>
      </w:r>
    </w:p>
    <w:p>
      <w:pPr>
        <w:contextualSpacing w:val="0"/>
        <w:jc w:val="both"/>
        <w:spacing w:before="0" w:after="113" w:line="240" w:lineRule="auto"/>
        <w:rPr>
          <w:rFonts w:ascii="PT Astra Serif" w:hAnsi="PT Astra Serif" w:cs="PT Astra Serif"/>
          <w:color w:val="202122"/>
          <w:sz w:val="24"/>
          <w:szCs w:val="24"/>
        </w:rPr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Поиск осуществляется по кадастровому номеру или адресу объекта, либо по карте. Варианты участков можно посмотреть либо списком, либо на карте. </w:t>
      </w:r>
      <w:r>
        <w:rPr>
          <w:rFonts w:ascii="PT Astra Serif" w:hAnsi="PT Astra Serif" w:cs="PT Astra Serif"/>
          <w:color w:val="202122"/>
          <w:sz w:val="24"/>
          <w:szCs w:val="24"/>
        </w:rPr>
      </w:r>
    </w:p>
    <w:p>
      <w:pPr>
        <w:contextualSpacing w:val="0"/>
        <w:jc w:val="both"/>
        <w:spacing w:before="0" w:after="113" w:line="240" w:lineRule="auto"/>
        <w:rPr>
          <w:rFonts w:ascii="PT Astra Serif" w:hAnsi="PT Astra Serif" w:cs="PT Astra Serif"/>
          <w:color w:val="202122"/>
          <w:sz w:val="24"/>
          <w:szCs w:val="24"/>
        </w:rPr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Кроме того, можно увидеть свободные участки не только в Иркутской области, но и за пределами региона. При этом можно узнать их площадь, адрес, категорию земель, иную информацию. Здесь же можно напр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авить в электронном виде обращение о своей заинтересованности в приобретении земельного участка.</w:t>
      </w:r>
      <w:r>
        <w:rPr>
          <w:rFonts w:ascii="PT Astra Serif" w:hAnsi="PT Astra Serif" w:cs="PT Astra Serif"/>
          <w:color w:val="202122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</w:r>
      <w:r>
        <w:rPr>
          <w:rFonts w:ascii="Arial" w:hAnsi="Arial" w:cs="Arial"/>
          <w:color w:val="202122"/>
          <w:sz w:val="24"/>
          <w:szCs w:val="24"/>
        </w:rPr>
      </w:r>
    </w:p>
    <w:p>
      <w:pPr>
        <w:jc w:val="both"/>
        <w:spacing w:after="0" w:line="240" w:lineRule="auto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</w:r>
    </w:p>
    <w:p>
      <w:pPr>
        <w:jc w:val="both"/>
        <w:spacing w:line="240" w:lineRule="auto"/>
        <w:tabs>
          <w:tab w:val="left" w:pos="567" w:leader="none"/>
        </w:tabs>
        <w:rPr>
          <w:rFonts w:ascii="PT Astra Serif" w:hAnsi="PT Astra Serif" w:cs="PT Astra Serif"/>
          <w:i/>
          <w:color w:val="202122"/>
          <w:sz w:val="24"/>
          <w:szCs w:val="24"/>
          <w:shd w:val="clear" w:color="auto" w:fill="ffffff"/>
        </w:rPr>
      </w:pPr>
      <w:r>
        <w:rPr>
          <w:rFonts w:ascii="PT Astra Serif" w:hAnsi="PT Astra Serif" w:eastAsia="PT Astra Serif" w:cs="PT Astra Serif"/>
          <w:i/>
          <w:color w:val="202122"/>
          <w:sz w:val="24"/>
          <w:szCs w:val="24"/>
          <w:shd w:val="clear" w:color="auto" w:fill="ffffff"/>
        </w:rPr>
        <w:t xml:space="preserve">Пресс-служба Управления </w:t>
      </w:r>
      <w:r>
        <w:rPr>
          <w:rFonts w:ascii="PT Astra Serif" w:hAnsi="PT Astra Serif" w:eastAsia="PT Astra Serif" w:cs="PT Astra Serif"/>
          <w:i/>
          <w:color w:val="202122"/>
          <w:sz w:val="24"/>
          <w:szCs w:val="24"/>
          <w:shd w:val="clear" w:color="auto" w:fill="ffffff"/>
        </w:rPr>
        <w:t xml:space="preserve">Росреестра</w:t>
      </w:r>
      <w:r>
        <w:rPr>
          <w:rFonts w:ascii="PT Astra Serif" w:hAnsi="PT Astra Serif" w:eastAsia="PT Astra Serif" w:cs="PT Astra Serif"/>
          <w:i/>
          <w:color w:val="202122"/>
          <w:sz w:val="24"/>
          <w:szCs w:val="24"/>
          <w:shd w:val="clear" w:color="auto" w:fill="ffffff"/>
        </w:rPr>
        <w:t xml:space="preserve"> по Иркутской области</w:t>
      </w:r>
      <w:r>
        <w:rPr>
          <w:rFonts w:ascii="PT Astra Serif" w:hAnsi="PT Astra Serif" w:cs="PT Astra Serif"/>
          <w:i/>
          <w:color w:val="202122"/>
          <w:sz w:val="24"/>
          <w:szCs w:val="24"/>
          <w:shd w:val="clear" w:color="auto" w:fill="ffffff"/>
        </w:rPr>
      </w:r>
      <w:r>
        <w:rPr>
          <w:rFonts w:ascii="PT Astra Serif" w:hAnsi="PT Astra Serif" w:cs="PT Astra Serif"/>
          <w:i/>
          <w:color w:val="202122"/>
          <w:sz w:val="24"/>
          <w:szCs w:val="24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709" w:right="849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Inter V">
    <w:panose1 w:val="02000603000000000000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9"/>
    <w:next w:val="829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0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0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0"/>
    <w:link w:val="681"/>
    <w:uiPriority w:val="99"/>
  </w:style>
  <w:style w:type="paragraph" w:styleId="683">
    <w:name w:val="Footer"/>
    <w:basedOn w:val="829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0"/>
    <w:link w:val="683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40</cp:revision>
  <dcterms:created xsi:type="dcterms:W3CDTF">2022-05-25T09:41:00Z</dcterms:created>
  <dcterms:modified xsi:type="dcterms:W3CDTF">2025-10-09T02:04:37Z</dcterms:modified>
</cp:coreProperties>
</file>