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0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6"/>
        <w:gridCol w:w="5559"/>
      </w:tblGrid>
      <w:tr>
        <w:tblPrEx/>
        <w:trPr>
          <w:trHeight w:val="426"/>
        </w:trPr>
        <w:tc>
          <w:tcPr>
            <w:tcW w:w="4506" w:type="dxa"/>
            <w:textDirection w:val="lrTb"/>
            <w:noWrap w:val="false"/>
          </w:tcPr>
          <w:p>
            <w:pPr>
              <w:rPr>
                <w:rFonts w:ascii="Inter V" w:hAnsi="Inter V" w:cs="Times New Roman"/>
                <w:b/>
                <w:sz w:val="28"/>
                <w:szCs w:val="28"/>
              </w:rPr>
            </w:pPr>
            <w:r>
              <w:rPr>
                <w:rFonts w:ascii="Inter V" w:hAnsi="Inter V" w:cs="Times New Roman"/>
                <w:b/>
                <w:sz w:val="28"/>
                <w:szCs w:val="28"/>
              </w:rPr>
            </w:r>
            <w:r>
              <w:rPr>
                <w:rFonts w:ascii="Inter V" w:hAnsi="Inter V" w:cs="Times New Roman"/>
                <w:b/>
                <w:sz w:val="28"/>
                <w:szCs w:val="28"/>
              </w:rPr>
            </w:r>
            <w:r>
              <w:rPr>
                <w:rFonts w:ascii="Inter V" w:hAnsi="Inter V" w:cs="Times New Roman"/>
                <w:b/>
                <w:sz w:val="28"/>
                <w:szCs w:val="28"/>
              </w:rPr>
            </w:r>
          </w:p>
        </w:tc>
        <w:tc>
          <w:tcPr>
            <w:tcW w:w="555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994"/>
        </w:trPr>
        <w:tc>
          <w:tcPr>
            <w:tcW w:w="4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26780" cy="942975"/>
                      <wp:effectExtent l="0" t="0" r="2540" b="0"/>
                      <wp:docPr id="1" name="Рисунок 1" descr="C:\Users\gomanenko_gv\Desktop\герб длинный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gomanenko_gv\Desktop\герб длинный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81727" cy="9662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75.34pt;height:74.25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559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jc w:val="right"/>
              <w:rPr>
                <w:rFonts w:ascii="Inter V" w:hAnsi="Inter V" w:cs="Times New Roman"/>
                <w:b/>
              </w:rPr>
            </w:pP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</w:p>
        </w:tc>
      </w:tr>
    </w:tbl>
    <w:p>
      <w:pPr>
        <w:jc w:val="right"/>
        <w:spacing w:line="240" w:lineRule="auto"/>
        <w:tabs>
          <w:tab w:val="left" w:pos="567" w:leader="none"/>
        </w:tabs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 xml:space="preserve">9 июля 2026</w:t>
      </w:r>
      <w:r>
        <w:rPr>
          <w:rFonts w:ascii="Arial" w:hAnsi="Arial" w:cs="Arial"/>
          <w:color w:val="202122"/>
          <w:shd w:val="clear" w:color="auto" w:fill="ffffff"/>
        </w:rPr>
        <w:t xml:space="preserve"> года</w:t>
      </w:r>
      <w:r>
        <w:rPr>
          <w:rFonts w:ascii="Arial" w:hAnsi="Arial" w:cs="Arial"/>
          <w:color w:val="202122"/>
          <w:shd w:val="clear" w:color="auto" w:fill="ffffff"/>
        </w:rPr>
      </w:r>
      <w:r>
        <w:rPr>
          <w:rFonts w:ascii="Arial" w:hAnsi="Arial" w:cs="Arial"/>
          <w:color w:val="202122"/>
          <w:shd w:val="clear" w:color="auto" w:fill="ffffff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r>
      <w:r>
        <w:rPr>
          <w:rFonts w:ascii="Arial" w:hAnsi="Arial" w:cs="Arial"/>
          <w:b/>
          <w:color w:val="202122"/>
          <w:sz w:val="24"/>
          <w:szCs w:val="24"/>
          <w:shd w:val="clear" w:color="auto" w:fill="ffffff"/>
        </w:rPr>
      </w:r>
    </w:p>
    <w:p>
      <w:pPr>
        <w:ind w:left="30" w:right="30" w:hanging="30"/>
        <w:jc w:val="both"/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Style w:val="666"/>
        <w:ind w:left="0" w:right="0" w:firstLine="0"/>
        <w:jc w:val="center"/>
        <w:spacing w:after="0" w:afterAutospacing="0" w:line="240" w:lineRule="auto"/>
        <w:rPr>
          <w:rFonts w:ascii="PT Astra Serif" w:hAnsi="PT Astra Serif" w:eastAsia="PT Astra Serif" w:cs="PT Astra Serif"/>
          <w:bCs w:val="0"/>
          <w:i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i w:val="0"/>
          <w:iCs w:val="0"/>
          <w:sz w:val="28"/>
          <w:szCs w:val="28"/>
          <w:highlight w:val="none"/>
        </w:rPr>
        <w:t xml:space="preserve">В банк земли для туризма Иркутской области включена новая территория</w:t>
      </w:r>
      <w:r>
        <w:rPr>
          <w:rFonts w:ascii="PT Astra Serif" w:hAnsi="PT Astra Serif" w:eastAsia="PT Astra Serif" w:cs="PT Astra Serif"/>
          <w:bCs w:val="0"/>
          <w:i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Cs w:val="0"/>
          <w:i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В рамках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реализации федерального проекта «Земля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для туризма»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определен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объект туристского интереса – залив Бурдугуз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.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Природный объект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включен в расширенный список объектов туристического интереса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в июне 2026 года.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Залив Бурдугуз расположен на правом берегу Иркутского водохранилища (на реке Ангара), примерно в 35–40 км к северо‑востоку от Иркутска, рядом с поселком Бурдугуз.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Название происходит от бурятских слов «бурдууг» («пойло, бурда») и «уһан» («вода») — буквально «мутная вода».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Залив образовался в 1950‑х годах после заполнения водохранилища — ранее здесь было затопленное село Бурдугуз.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Рельеф мелководный,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с плавным понижением дна. Глубины в основном 2–5 м, что способствует быстрому прогреву воды летом.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Берега преимущественно песчано‑галечные, местами каменистые.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С трех сторон залив окружен хвойным лесом (сосна, лиственница), создающим благоприятный микроклимат.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П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рибрежная зона богата ягодами (брусника, черника), грибами. В заливе водится окунь, плотва, иногда заходит щука. В лесах встречаются белки, бурундуки, мелкие птицы.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Залив подходит для коротких выездов из Иркутска, особенно для семей с детьми — есть оборудованные и дикие пляжи.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52" w:lineRule="auto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З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алив Бурдугуз дарит множество возможностей для активного отдыха: от купания на живописных пляжах и рыбалки до прогулок по сосновому лесу, сбора ягод и грибов, велосипедных маршрутов вдоль берега, катания на сапбордах, лодках и катамаранах, а также увлекате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льных экскурсий по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окрестностям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52" w:lineRule="auto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Д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анные о выявленной территории «38:06:020401:300», расположенной в зоне рекреационного назначения, размещены на электронной платформе «Национальная система пространственных данных». Сервис в открытом доступе позволяет изучить участки для туризма, а также их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характеристики, статус и инфраструктурный потенциал.</w:t>
      </w:r>
      <w:r/>
      <w:r/>
    </w:p>
    <w:p>
      <w:pPr>
        <w:ind w:left="0" w:right="2" w:firstLine="0"/>
        <w:jc w:val="both"/>
        <w:spacing w:line="276" w:lineRule="auto"/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jc w:val="both"/>
        <w:spacing w:after="0" w:line="240" w:lineRule="auto"/>
        <w:rPr>
          <w:rFonts w:ascii="Liberation Sans" w:hAnsi="Liberation Sans" w:cs="Liberation Sans"/>
          <w:color w:val="202122"/>
          <w:sz w:val="24"/>
          <w:szCs w:val="24"/>
        </w:rPr>
      </w:pPr>
      <w:r>
        <w:rPr>
          <w:rFonts w:ascii="Liberation Sans" w:hAnsi="Liberation Sans" w:eastAsia="Liberation Sans" w:cs="Liberation Sans"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color w:val="202122"/>
          <w:sz w:val="24"/>
          <w:szCs w:val="24"/>
        </w:rPr>
      </w:r>
      <w:r>
        <w:rPr>
          <w:rFonts w:ascii="Liberation Sans" w:hAnsi="Liberation Sans" w:cs="Liberation Sans"/>
          <w:color w:val="202122"/>
          <w:sz w:val="24"/>
          <w:szCs w:val="24"/>
        </w:rPr>
      </w:r>
    </w:p>
    <w:p>
      <w:pPr>
        <w:jc w:val="both"/>
        <w:spacing w:after="0" w:line="240" w:lineRule="auto"/>
        <w:rPr>
          <w:rFonts w:ascii="Liberation Sans" w:hAnsi="Liberation Sans" w:cs="Liberation Sans"/>
          <w:color w:val="202122"/>
          <w:sz w:val="24"/>
          <w:szCs w:val="24"/>
          <w:shd w:val="clear" w:color="auto" w:fill="ffffff"/>
        </w:rPr>
      </w:pPr>
      <w:r>
        <w:rPr>
          <w:rFonts w:ascii="Liberation Sans" w:hAnsi="Liberation Sans" w:eastAsia="Liberation Sans" w:cs="Liberation Sans"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color w:val="202122"/>
          <w:sz w:val="24"/>
          <w:szCs w:val="24"/>
          <w:shd w:val="clear" w:color="auto" w:fill="ffffff"/>
        </w:rPr>
      </w:r>
    </w:p>
    <w:p>
      <w:pPr>
        <w:jc w:val="both"/>
        <w:spacing w:line="240" w:lineRule="auto"/>
        <w:tabs>
          <w:tab w:val="left" w:pos="567" w:leader="none"/>
        </w:tabs>
        <w:rPr>
          <w:rFonts w:ascii="Liberation Sans" w:hAnsi="Liberation Sans" w:cs="Liberation Sans"/>
          <w:i/>
          <w:color w:val="202122"/>
          <w:sz w:val="24"/>
          <w:szCs w:val="24"/>
          <w:shd w:val="clear" w:color="auto" w:fill="ffffff"/>
        </w:rPr>
      </w:pP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  <w:t xml:space="preserve">Пресс-служба Управления </w:t>
      </w: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  <w:t xml:space="preserve">Росреестра</w:t>
      </w: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  <w:t xml:space="preserve"> по Иркутской области</w:t>
      </w:r>
      <w:r>
        <w:rPr>
          <w:rFonts w:ascii="Liberation Sans" w:hAnsi="Liberation Sans" w:cs="Liberation Sans"/>
          <w:i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i/>
          <w:color w:val="202122"/>
          <w:sz w:val="24"/>
          <w:szCs w:val="24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709" w:right="849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Inter V">
    <w:panose1 w:val="02000603000000000000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29"/>
    <w:next w:val="829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0"/>
    <w:link w:val="673"/>
    <w:uiPriority w:val="10"/>
    <w:rPr>
      <w:sz w:val="48"/>
      <w:szCs w:val="48"/>
    </w:rPr>
  </w:style>
  <w:style w:type="paragraph" w:styleId="675">
    <w:name w:val="Subtitle"/>
    <w:basedOn w:val="829"/>
    <w:next w:val="829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0"/>
    <w:link w:val="675"/>
    <w:uiPriority w:val="11"/>
    <w:rPr>
      <w:sz w:val="24"/>
      <w:szCs w:val="24"/>
    </w:rPr>
  </w:style>
  <w:style w:type="paragraph" w:styleId="677">
    <w:name w:val="Quote"/>
    <w:basedOn w:val="829"/>
    <w:next w:val="829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9"/>
    <w:next w:val="829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29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0"/>
    <w:link w:val="681"/>
    <w:uiPriority w:val="99"/>
  </w:style>
  <w:style w:type="paragraph" w:styleId="683">
    <w:name w:val="Footer"/>
    <w:basedOn w:val="829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0"/>
    <w:link w:val="68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35</cp:revision>
  <dcterms:created xsi:type="dcterms:W3CDTF">2022-05-25T09:41:00Z</dcterms:created>
  <dcterms:modified xsi:type="dcterms:W3CDTF">2026-07-09T02:51:58Z</dcterms:modified>
</cp:coreProperties>
</file>