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Рождественская ночь на территории города Тулуна и Тулунского района прошла без происшествий. Всего з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а истекшие сутки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06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.01.2025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территории города Тулуна и Тулунского района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случаев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пожаров не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зарегистрировано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соседнем Нижнеудинском районе в городе Алзамай в ночное время 06.01.2025 произошел пожар частного жилого дома на котором погибли два человека (40-летний мужчина и его 22-летний сын). Предварительная причина пожара — аварийный режим работы электросети вследствие короткого замыкания.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Стоит отметить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что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, как и в случае с пожаром в селе Малая Кочерма Куйтунского района, где 04.01.2025 погибла женщина 1966 года рождения, жилой дом погибших не был оборудован средствами раннего обнаружения пожара —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автономными дымовыми пожарными извещателями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Состояние сна не позволило людям вовремя обнаружить очаг пожар на раней стадии, а также быстро сориентироваться в сложившейся обстановке и принять меры к тушению или эвакуации, что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привело к трагическим последствиям.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Уже более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10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лет сотрудники МЧС России рекомендуют жителям приобретать и устанавливать в своих жилищах автономные дымовые пожарные извещатели - специальные устройства, реагирующие на определенный уровень концентрации дыма в защищаемом помещении, работающие на автономном источнике питания и, в случае срабатывания, оповещающие о пожаре очень громким звуковым сигналом,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способным разбудить даже крепко спящего человека.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сегодняшний день автономный дымовой пожарный извещатель можно назвать одним из наиболее эффективных средств по предупреждению гибели людей на пожарах.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Именно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предупреждения гибели людей на пожарах. АДПИ не является панацей от пожара!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е допустить пожар в доме поможет только добросовестное отношение собственника к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содержанию своего жилища и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соблюдению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элементарных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правил пожарной безопасности!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eastAsiaTheme="minorHAnsi" w:ascii="PT Astra Serif" w:hAnsi="PT Astra Serif"/>
          <w:color w:val="auto"/>
          <w:kern w:val="0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Application>LibreOffice/6.4.7.2$Linux_X86_64 LibreOffice_project/72d9d5113b23a0ed474720f9d366fcde9a2744dd</Application>
  <Pages>1</Pages>
  <Words>238</Words>
  <Characters>1554</Characters>
  <CharactersWithSpaces>1790</CharactersWithSpaces>
  <Paragraphs>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2025-01-07T11:11:53Z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