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27" w:rsidRDefault="00FC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16"/>
        <w:gridCol w:w="4339"/>
      </w:tblGrid>
      <w:tr w:rsidR="00FC0A27">
        <w:trPr>
          <w:trHeight w:val="3140"/>
        </w:trPr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4" w:rsidRDefault="008452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>
                  <wp:extent cx="3048000" cy="1933575"/>
                  <wp:effectExtent l="0" t="0" r="0" b="0"/>
                  <wp:docPr id="1" name="image1.png" descr="https://lh4.googleusercontent.com/ztdf_OtMBhBYsyh3LxcXWIo-foBMyLGOEAPGHh7w9PZ1qZrnpOW_OsNF2vMUT4VYEe3SL3Izunw6AW6CcFLv0EvgwcuqbKCVvfPIckHICLbVDAuVamWUloAfeNC-nsIHpZTCBLh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ztdf_OtMBhBYsyh3LxcXWIo-foBMyLGOEAPGHh7w9PZ1qZrnpOW_OsNF2vMUT4VYEe3SL3Izunw6AW6CcFLv0EvgwcuqbKCVvfPIckHICLbVDAuVamWUloAfeNC-nsIHpZTCBLh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3B4" w:rsidRDefault="004903B4" w:rsidP="00490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27" w:rsidRPr="004903B4" w:rsidRDefault="00FC0A27" w:rsidP="004903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A27" w:rsidRDefault="008452BE">
            <w:pPr>
              <w:spacing w:line="240" w:lineRule="auto"/>
              <w:ind w:left="1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C0A27" w:rsidRPr="008452BE" w:rsidRDefault="008452BE">
            <w:pPr>
              <w:spacing w:line="240" w:lineRule="auto"/>
              <w:ind w:left="1134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2BE">
              <w:rPr>
                <w:rFonts w:ascii="Open Sans" w:eastAsia="Open Sans" w:hAnsi="Open Sans" w:cs="Open Sans"/>
                <w:sz w:val="20"/>
                <w:szCs w:val="20"/>
              </w:rPr>
              <w:t xml:space="preserve">Пресс-служба </w:t>
            </w:r>
          </w:p>
          <w:p w:rsidR="00FC0A27" w:rsidRPr="008452BE" w:rsidRDefault="008452BE">
            <w:pPr>
              <w:spacing w:line="240" w:lineRule="auto"/>
              <w:ind w:left="1134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452BE">
              <w:rPr>
                <w:rFonts w:ascii="Open Sans" w:eastAsia="Open Sans" w:hAnsi="Open Sans" w:cs="Open Sans"/>
                <w:sz w:val="20"/>
                <w:szCs w:val="20"/>
              </w:rPr>
              <w:t xml:space="preserve">ООО «РТ-НЭО Иркутск» </w:t>
            </w:r>
          </w:p>
          <w:p w:rsidR="00FC0A27" w:rsidRPr="008452BE" w:rsidRDefault="008452BE">
            <w:pPr>
              <w:spacing w:line="240" w:lineRule="auto"/>
              <w:ind w:left="1134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452BE">
              <w:rPr>
                <w:rFonts w:ascii="Open Sans" w:eastAsia="Open Sans" w:hAnsi="Open Sans" w:cs="Open Sans"/>
                <w:sz w:val="20"/>
                <w:szCs w:val="20"/>
              </w:rPr>
              <w:t>Зоны - 2 Юг</w:t>
            </w:r>
          </w:p>
          <w:p w:rsidR="00FC0A27" w:rsidRPr="008452BE" w:rsidRDefault="008452BE">
            <w:pPr>
              <w:spacing w:line="240" w:lineRule="auto"/>
              <w:ind w:left="1134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452BE">
              <w:rPr>
                <w:rFonts w:ascii="Open Sans" w:eastAsia="Open Sans" w:hAnsi="Open Sans" w:cs="Open Sans"/>
                <w:sz w:val="20"/>
                <w:szCs w:val="20"/>
              </w:rPr>
              <w:t>Контактное лицо:</w:t>
            </w:r>
          </w:p>
          <w:p w:rsidR="00FC0A27" w:rsidRPr="008452BE" w:rsidRDefault="008452BE">
            <w:pPr>
              <w:spacing w:line="240" w:lineRule="auto"/>
              <w:ind w:left="1134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452BE">
              <w:rPr>
                <w:rFonts w:ascii="Open Sans" w:eastAsia="Open Sans" w:hAnsi="Open Sans" w:cs="Open Sans"/>
                <w:sz w:val="20"/>
                <w:szCs w:val="20"/>
              </w:rPr>
              <w:t>Жданова Анна</w:t>
            </w:r>
          </w:p>
          <w:p w:rsidR="00FC0A27" w:rsidRPr="008452BE" w:rsidRDefault="008452BE">
            <w:pPr>
              <w:spacing w:line="240" w:lineRule="auto"/>
              <w:ind w:left="1134"/>
              <w:jc w:val="right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452BE">
              <w:rPr>
                <w:rFonts w:ascii="Open Sans" w:eastAsia="Open Sans" w:hAnsi="Open Sans" w:cs="Open Sans"/>
                <w:sz w:val="20"/>
                <w:szCs w:val="20"/>
              </w:rPr>
              <w:t>+7 950 10 777 84</w:t>
            </w:r>
          </w:p>
          <w:p w:rsidR="00FC0A27" w:rsidRDefault="00FC0A27">
            <w:pPr>
              <w:spacing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27" w:rsidRDefault="00FC0A27">
            <w:pPr>
              <w:spacing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BE" w:rsidRDefault="008452BE" w:rsidP="008452BE">
      <w:pPr>
        <w:spacing w:after="0" w:line="240" w:lineRule="auto"/>
      </w:pPr>
      <w:r>
        <w:rPr>
          <w:rFonts w:ascii="Open Sans" w:eastAsia="Open Sans" w:hAnsi="Open Sans" w:cs="Open Sans"/>
          <w:color w:val="000000"/>
          <w:sz w:val="28"/>
          <w:szCs w:val="28"/>
        </w:rPr>
        <w:t> </w:t>
      </w:r>
      <w:r>
        <w:rPr>
          <w:rFonts w:ascii="Open Sans" w:hAnsi="Open Sans"/>
          <w:color w:val="000000"/>
          <w:sz w:val="28"/>
          <w:szCs w:val="28"/>
        </w:rPr>
        <w:t> </w:t>
      </w:r>
      <w:r>
        <w:rPr>
          <w:rFonts w:ascii="Open Sans" w:hAnsi="Open Sans"/>
          <w:color w:val="000000"/>
        </w:rPr>
        <w:t>2 декабря 2019 г.</w:t>
      </w:r>
    </w:p>
    <w:p w:rsidR="008452BE" w:rsidRPr="008452BE" w:rsidRDefault="008452BE" w:rsidP="008452BE">
      <w:pPr>
        <w:pStyle w:val="a7"/>
        <w:spacing w:before="240" w:beforeAutospacing="0" w:after="0" w:afterAutospacing="0"/>
        <w:jc w:val="center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> </w:t>
      </w:r>
      <w:r w:rsidRPr="008452BE">
        <w:rPr>
          <w:rFonts w:ascii="Open Sans" w:hAnsi="Open Sans"/>
          <w:b/>
          <w:bCs/>
          <w:color w:val="000000"/>
        </w:rPr>
        <w:t>ПРЕСС-РЕЛИЗ</w:t>
      </w:r>
    </w:p>
    <w:p w:rsidR="008452BE" w:rsidRPr="008452BE" w:rsidRDefault="008452BE" w:rsidP="008452BE">
      <w:pPr>
        <w:pStyle w:val="a7"/>
        <w:spacing w:before="240" w:beforeAutospacing="0" w:after="240" w:afterAutospacing="0"/>
        <w:ind w:firstLine="567"/>
        <w:jc w:val="center"/>
        <w:rPr>
          <w:rFonts w:ascii="Open Sans" w:hAnsi="Open Sans"/>
        </w:rPr>
      </w:pPr>
      <w:r w:rsidRPr="008452BE">
        <w:rPr>
          <w:rFonts w:ascii="Open Sans" w:hAnsi="Open Sans"/>
          <w:b/>
          <w:bCs/>
          <w:color w:val="000000"/>
        </w:rPr>
        <w:t> </w:t>
      </w:r>
      <w:bookmarkStart w:id="0" w:name="_GoBack"/>
      <w:r w:rsidRPr="008452BE">
        <w:rPr>
          <w:rFonts w:ascii="Open Sans" w:hAnsi="Open Sans"/>
          <w:b/>
          <w:bCs/>
          <w:color w:val="000000"/>
          <w:shd w:val="clear" w:color="auto" w:fill="FFFFFF"/>
        </w:rPr>
        <w:t>Региональный оператор рассматривает возможность перерасчета собственникам нежилых помещений за обращение с отходами</w:t>
      </w:r>
    </w:p>
    <w:p w:rsidR="008452BE" w:rsidRPr="008452BE" w:rsidRDefault="008452BE" w:rsidP="008452BE">
      <w:pPr>
        <w:rPr>
          <w:rFonts w:ascii="Open Sans" w:hAnsi="Open Sans"/>
        </w:rPr>
      </w:pPr>
    </w:p>
    <w:bookmarkEnd w:id="0"/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>Региональный оператор зоны Юг обратился к собственникам нежилых помещений с предложением принять участие в голосовании. </w:t>
      </w:r>
    </w:p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 xml:space="preserve">22 октября 2019 решением Иркутского областного суда было отменено </w:t>
      </w:r>
      <w:r w:rsidRPr="008452BE">
        <w:rPr>
          <w:rFonts w:ascii="Open Sans" w:hAnsi="Open Sans"/>
          <w:color w:val="000000"/>
        </w:rPr>
        <w:t>письмо Министерства</w:t>
      </w:r>
      <w:r w:rsidRPr="008452BE">
        <w:rPr>
          <w:rFonts w:ascii="Open Sans" w:hAnsi="Open Sans"/>
          <w:color w:val="000000"/>
        </w:rPr>
        <w:t xml:space="preserve"> жилищной политики, энергетики и транспорта Иркутской области №02-58-4748/19 "О расчетах с юридическими лицами". Теперь собственники нежилых помещений могут заключать договор с региональным оператором с методом расчета по отгруженным контейнерам и бункерам в месте их накопления (по факту). </w:t>
      </w:r>
    </w:p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>В то же время сложилась ситуация, что по независящим от регионального оператора и потребителей причинам, потребители до 1 ноября были лишены возможности перехода на данный метод учета. </w:t>
      </w:r>
    </w:p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 xml:space="preserve">Для сохранения принципа справедливости и честности в расчетах ООО “РТ-НЭО Иркутск” </w:t>
      </w:r>
      <w:r w:rsidRPr="008452BE">
        <w:rPr>
          <w:rFonts w:ascii="Open Sans" w:hAnsi="Open Sans"/>
          <w:color w:val="000000"/>
        </w:rPr>
        <w:t>рассматривает возможность</w:t>
      </w:r>
      <w:r w:rsidRPr="008452BE">
        <w:rPr>
          <w:rFonts w:ascii="Open Sans" w:hAnsi="Open Sans"/>
          <w:color w:val="000000"/>
        </w:rPr>
        <w:t xml:space="preserve"> заключения с потребителями дополнительных соглашений о переводе их на учет по отгруженным контейнерам и бункерам с 01.01.2019 года и произведении перерасчета за указанный период. </w:t>
      </w:r>
    </w:p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>Однако в связи с тем, что у регионального оператора отсутствовала обязанность расчета с потребителями по контейнерам, возникает сложность в восстановлении данных учета, которые позволили бы произвести объективные расчеты отгруженных отходов. </w:t>
      </w:r>
    </w:p>
    <w:p w:rsidR="008452BE" w:rsidRPr="008452BE" w:rsidRDefault="008452BE" w:rsidP="008452BE">
      <w:pPr>
        <w:pStyle w:val="1"/>
        <w:shd w:val="clear" w:color="auto" w:fill="FFFFFF"/>
        <w:spacing w:before="0" w:after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b w:val="0"/>
          <w:bCs/>
          <w:color w:val="000000"/>
          <w:sz w:val="24"/>
          <w:szCs w:val="24"/>
        </w:rPr>
        <w:lastRenderedPageBreak/>
        <w:t xml:space="preserve">В соответствии со статьей 24.10 Федерального закона “Об отходах производства и потребления” №89-ФЗ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</w:t>
      </w:r>
      <w:hyperlink r:id="rId6" w:anchor="dst100008" w:history="1">
        <w:r w:rsidRPr="008452BE">
          <w:rPr>
            <w:rStyle w:val="a6"/>
            <w:rFonts w:ascii="Open Sans" w:hAnsi="Open Sans"/>
            <w:b w:val="0"/>
            <w:bCs/>
            <w:color w:val="000000"/>
            <w:sz w:val="24"/>
            <w:szCs w:val="24"/>
          </w:rPr>
          <w:t>правилами</w:t>
        </w:r>
      </w:hyperlink>
      <w:r w:rsidRPr="008452BE">
        <w:rPr>
          <w:rFonts w:ascii="Open Sans" w:hAnsi="Open Sans"/>
          <w:b w:val="0"/>
          <w:bCs/>
          <w:color w:val="000000"/>
          <w:sz w:val="24"/>
          <w:szCs w:val="24"/>
        </w:rPr>
        <w:t xml:space="preserve"> коммерческого учета объема и (или) массы твердых коммунальных отходов, утвержденными Правительством Российской Федерации. </w:t>
      </w:r>
    </w:p>
    <w:p w:rsidR="008452BE" w:rsidRPr="008452BE" w:rsidRDefault="008452BE" w:rsidP="008452BE">
      <w:pPr>
        <w:pStyle w:val="1"/>
        <w:shd w:val="clear" w:color="auto" w:fill="FFFFFF"/>
        <w:spacing w:before="0" w:after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b w:val="0"/>
          <w:bCs/>
          <w:color w:val="000000"/>
          <w:sz w:val="24"/>
          <w:szCs w:val="24"/>
        </w:rPr>
        <w:t>Пунктом 5 Правил коммерческого учета объема и (или) массы твердых коммунальных отходов, утвержденных Постановлением Правительства РФ от 03.06.2016 N 505 (в ред. от 15.09.2018), установлено, что коммерческий учет твердых коммунальных отходов по факту осуществляется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отходов.</w:t>
      </w:r>
    </w:p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>В связи с указанным, “РТ-НЭО Иркутск” предлагает всем потребителям услуги принять участие в голосовании по определению того, какими данными необходимо руководствоваться для расчета стоимости оказанной услуги по факту за прошедший период, начиная с 01.01.2019 года. </w:t>
      </w:r>
    </w:p>
    <w:p w:rsidR="008452BE" w:rsidRPr="008452BE" w:rsidRDefault="008452BE" w:rsidP="008452BE">
      <w:pPr>
        <w:rPr>
          <w:rFonts w:ascii="Open Sans" w:hAnsi="Open Sans"/>
        </w:rPr>
      </w:pPr>
    </w:p>
    <w:p w:rsidR="008452BE" w:rsidRPr="008452BE" w:rsidRDefault="008452BE" w:rsidP="008452BE">
      <w:pPr>
        <w:pStyle w:val="a7"/>
        <w:spacing w:before="0" w:beforeAutospacing="0" w:after="0" w:afterAutospacing="0"/>
        <w:ind w:firstLine="567"/>
        <w:jc w:val="both"/>
        <w:rPr>
          <w:rFonts w:ascii="Open Sans" w:hAnsi="Open Sans"/>
        </w:rPr>
      </w:pPr>
      <w:r w:rsidRPr="008452BE">
        <w:rPr>
          <w:rFonts w:ascii="Open Sans" w:hAnsi="Open Sans"/>
          <w:color w:val="000000"/>
        </w:rPr>
        <w:t xml:space="preserve">Принять участие в голосовании может каждый потребитель на сайте </w:t>
      </w:r>
      <w:proofErr w:type="spellStart"/>
      <w:r w:rsidRPr="008452BE">
        <w:rPr>
          <w:rFonts w:ascii="Open Sans" w:hAnsi="Open Sans"/>
          <w:color w:val="000000"/>
        </w:rPr>
        <w:t>регоператора</w:t>
      </w:r>
      <w:proofErr w:type="spellEnd"/>
      <w:r w:rsidRPr="008452BE">
        <w:rPr>
          <w:rFonts w:ascii="Open Sans" w:hAnsi="Open Sans"/>
          <w:color w:val="000000"/>
        </w:rPr>
        <w:t xml:space="preserve"> </w:t>
      </w:r>
      <w:hyperlink r:id="rId7" w:history="1">
        <w:r w:rsidRPr="008452BE">
          <w:rPr>
            <w:rStyle w:val="a6"/>
            <w:rFonts w:ascii="Open Sans" w:hAnsi="Open Sans"/>
            <w:shd w:val="clear" w:color="auto" w:fill="FFFFFF"/>
          </w:rPr>
          <w:t>http://rtneo-irk.ru/golosovanie.php</w:t>
        </w:r>
      </w:hyperlink>
      <w:r w:rsidRPr="008452BE">
        <w:rPr>
          <w:rFonts w:ascii="Open Sans" w:hAnsi="Open Sans"/>
          <w:color w:val="000000"/>
        </w:rPr>
        <w:t>.</w:t>
      </w:r>
    </w:p>
    <w:p w:rsidR="008452BE" w:rsidRPr="008452BE" w:rsidRDefault="008452BE" w:rsidP="00511CD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:rsidR="00FC0A27" w:rsidRPr="008452BE" w:rsidRDefault="008452B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1" w:name="_gjdgxs" w:colFirst="0" w:colLast="0"/>
      <w:bookmarkEnd w:id="1"/>
      <w:r w:rsidRPr="008452BE">
        <w:rPr>
          <w:rFonts w:ascii="Open Sans" w:eastAsia="Open Sans" w:hAnsi="Open Sans" w:cs="Open Sans"/>
          <w:color w:val="000000"/>
          <w:sz w:val="24"/>
          <w:szCs w:val="24"/>
        </w:rPr>
        <w:t>                                         </w:t>
      </w:r>
    </w:p>
    <w:p w:rsidR="00FC0A27" w:rsidRPr="008452BE" w:rsidRDefault="00FC0A27">
      <w:pPr>
        <w:rPr>
          <w:rFonts w:ascii="Open Sans" w:eastAsia="Open Sans" w:hAnsi="Open Sans" w:cs="Open Sans"/>
          <w:sz w:val="24"/>
          <w:szCs w:val="24"/>
        </w:rPr>
      </w:pPr>
    </w:p>
    <w:sectPr w:rsidR="00FC0A27" w:rsidRPr="008452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401"/>
    <w:multiLevelType w:val="multilevel"/>
    <w:tmpl w:val="5C10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30411"/>
    <w:multiLevelType w:val="multilevel"/>
    <w:tmpl w:val="4AF2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7"/>
    <w:rsid w:val="00456779"/>
    <w:rsid w:val="004903B4"/>
    <w:rsid w:val="0049612D"/>
    <w:rsid w:val="00511CDD"/>
    <w:rsid w:val="008452BE"/>
    <w:rsid w:val="00E054F2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6A7E-976B-4ABC-AF89-4DE43B4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semiHidden/>
    <w:unhideWhenUsed/>
    <w:rsid w:val="004903B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0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neo-irk.ru/golosovani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73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KORA</cp:lastModifiedBy>
  <cp:revision>2</cp:revision>
  <dcterms:created xsi:type="dcterms:W3CDTF">2019-12-02T06:28:00Z</dcterms:created>
  <dcterms:modified xsi:type="dcterms:W3CDTF">2019-12-02T06:28:00Z</dcterms:modified>
</cp:coreProperties>
</file>