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4.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69" w:after="0"/>
        <w:ind w:left="3402" w:hanging="0"/>
        <w:jc w:val="right"/>
        <w:outlineLvl w:val="3"/>
        <w:rPr>
          <w:rFonts w:ascii="Times New Roman" w:hAnsi="Times New Roman" w:eastAsia="Arial" w:cs="Times New Roman"/>
          <w:b/>
          <w:b/>
          <w:bCs/>
          <w:spacing w:val="-1"/>
          <w:sz w:val="28"/>
          <w:szCs w:val="28"/>
          <w:u w:val="single"/>
          <w:lang w:eastAsia="en-US"/>
        </w:rPr>
      </w:pPr>
      <w:r>
        <w:rPr>
          <w:rFonts w:eastAsia="Arial" w:cs="Times New Roman" w:ascii="Times New Roman" w:hAnsi="Times New Roman"/>
          <w:b/>
          <w:bCs/>
          <w:spacing w:val="-1"/>
          <w:sz w:val="28"/>
          <w:szCs w:val="28"/>
          <w:u w:val="single"/>
          <w:lang w:eastAsia="en-US"/>
        </w:rPr>
        <w:t>ПРОЕКТ</w:t>
      </w:r>
    </w:p>
    <w:p>
      <w:pPr>
        <w:pStyle w:val="Normal"/>
        <w:widowControl w:val="false"/>
        <w:numPr>
          <w:ilvl w:val="0"/>
          <w:numId w:val="0"/>
        </w:numPr>
        <w:spacing w:lineRule="auto" w:line="240" w:before="69" w:after="0"/>
        <w:ind w:left="3402" w:hanging="0"/>
        <w:jc w:val="right"/>
        <w:outlineLvl w:val="3"/>
        <w:rPr>
          <w:rFonts w:ascii="Times New Roman" w:hAnsi="Times New Roman" w:eastAsia="Arial" w:cs="Times New Roman"/>
          <w:b/>
          <w:b/>
          <w:bCs/>
          <w:spacing w:val="-1"/>
          <w:sz w:val="28"/>
          <w:szCs w:val="28"/>
          <w:lang w:eastAsia="en-US"/>
        </w:rPr>
      </w:pPr>
      <w:r>
        <w:rPr>
          <w:rFonts w:eastAsia="Arial" w:cs="Times New Roman" w:ascii="Times New Roman" w:hAnsi="Times New Roman"/>
          <w:b/>
          <w:bCs/>
          <w:spacing w:val="-1"/>
          <w:sz w:val="28"/>
          <w:szCs w:val="28"/>
          <w:lang w:eastAsia="en-US"/>
        </w:rPr>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ИРКУТСКАЯ   ОБЛАСТЬ</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ТУЛУНСКИЙ   РАЙОН</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АДМИНИСТРАЦИЯ</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Азейского сельского поселения</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П О С Т А Н О В Л Е Н И Е</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jc w:val="left"/>
        <w:rPr>
          <w:rFonts w:ascii="Times New Roman" w:hAnsi="Times New Roman"/>
          <w:b/>
          <w:b/>
          <w:spacing w:val="20"/>
          <w:sz w:val="28"/>
          <w:szCs w:val="28"/>
        </w:rPr>
      </w:pPr>
      <w:r>
        <w:rPr>
          <w:rFonts w:ascii="Times New Roman" w:hAnsi="Times New Roman"/>
          <w:b/>
          <w:spacing w:val="20"/>
          <w:sz w:val="28"/>
          <w:szCs w:val="28"/>
        </w:rPr>
        <w:t>«__»______ 20__ г.                                                               №  ___-пг</w:t>
      </w:r>
    </w:p>
    <w:p>
      <w:pPr>
        <w:pStyle w:val="Oaieaaaa"/>
        <w:jc w:val="left"/>
        <w:rPr>
          <w:rFonts w:ascii="Times New Roman" w:hAnsi="Times New Roman"/>
          <w:b/>
          <w:b/>
          <w:spacing w:val="20"/>
          <w:sz w:val="28"/>
          <w:szCs w:val="28"/>
        </w:rPr>
      </w:pPr>
      <w:r>
        <w:rPr>
          <w:rFonts w:ascii="Times New Roman" w:hAnsi="Times New Roman"/>
          <w:b/>
          <w:spacing w:val="20"/>
          <w:sz w:val="28"/>
          <w:szCs w:val="28"/>
        </w:rPr>
      </w:r>
    </w:p>
    <w:p>
      <w:pPr>
        <w:pStyle w:val="Oaieaaaa"/>
        <w:jc w:val="center"/>
        <w:rPr>
          <w:rFonts w:ascii="Times New Roman" w:hAnsi="Times New Roman"/>
          <w:b/>
          <w:b/>
          <w:spacing w:val="20"/>
          <w:sz w:val="28"/>
          <w:szCs w:val="28"/>
        </w:rPr>
      </w:pPr>
      <w:r>
        <w:rPr>
          <w:rFonts w:ascii="Times New Roman" w:hAnsi="Times New Roman"/>
          <w:b/>
          <w:spacing w:val="20"/>
          <w:sz w:val="28"/>
          <w:szCs w:val="28"/>
        </w:rPr>
        <w:t>с. Азей</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Об актуализации схемы теплоснабжения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Азейского сельского поселения на 2018 год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на период до 2032 года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ConsNonformat"/>
        <w:widowControl/>
        <w:ind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целях урегулирования правовых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и в целях использования требований Федерального закона от 27.07.2010 г. № 190-ФЗ «О теплоснабжении», Постановления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проекту актуализации схемы теплоснабжения Азейского сельского поселения на 2018 год от «__»______ 20__ года</w:t>
      </w:r>
    </w:p>
    <w:p>
      <w:pPr>
        <w:pStyle w:val="ConsNonformat"/>
        <w:widowControl/>
        <w:ind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ПОСТАНОВЛЯЮ:</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ConsNonformat"/>
        <w:widowControl/>
        <w:ind w:right="0" w:firstLine="567"/>
        <w:jc w:val="both"/>
        <w:rPr>
          <w:rFonts w:ascii="Times New Roman" w:hAnsi="Times New Roman" w:cs="Times New Roman"/>
          <w:sz w:val="28"/>
          <w:szCs w:val="28"/>
        </w:rPr>
      </w:pPr>
      <w:r>
        <w:rPr>
          <w:rFonts w:cs="Times New Roman" w:ascii="Times New Roman" w:hAnsi="Times New Roman"/>
          <w:sz w:val="28"/>
          <w:szCs w:val="28"/>
        </w:rPr>
        <w:t>1. Актуализировать прилагаемую схему теплоснабжения Азейского сельского поселения на 2018 год на период 2032 года, утвержденную от 20.11.2014 г. № 29-пг.</w:t>
      </w:r>
    </w:p>
    <w:p>
      <w:pPr>
        <w:pStyle w:val="ConsPlusTitle"/>
        <w:ind w:firstLine="567"/>
        <w:jc w:val="both"/>
        <w:rPr>
          <w:b w:val="false"/>
          <w:b w:val="false"/>
          <w:sz w:val="28"/>
          <w:szCs w:val="28"/>
        </w:rPr>
      </w:pPr>
      <w:r>
        <w:rPr>
          <w:b w:val="false"/>
          <w:sz w:val="28"/>
          <w:szCs w:val="28"/>
        </w:rPr>
        <w:t>2. Опубликовать настоящее постановление в газете «Азейский вестник» и разместить на официальном сайте Азейского сельского поселения в информационно-телекоммуникационной сети « Интернет».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Контроль за выполнением настоящего постановления оставляю за собой.</w:t>
      </w:r>
    </w:p>
    <w:p>
      <w:pPr>
        <w:pStyle w:val="ConsPlusTitle"/>
        <w:jc w:val="both"/>
        <w:rPr>
          <w:b w:val="false"/>
          <w:b w:val="false"/>
          <w:sz w:val="28"/>
          <w:szCs w:val="28"/>
        </w:rPr>
      </w:pPr>
      <w:r>
        <w:rPr>
          <w:b w:val="false"/>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Азейского</w:t>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сельского поселения</w:t>
        <w:tab/>
        <w:tab/>
        <w:tab/>
        <w:t xml:space="preserve">       </w:t>
        <w:tab/>
        <w:t xml:space="preserve">      Т.Г. Кириллова</w:t>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Утверждено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постановлением администрации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Азейского сельского поселения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от «___»________20__ г.  № ____</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Схема теплоснабжения</w:t>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Азейского сельского поселения Тулунского района Иркутской области</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Администрация Азейского сельского поселения</w:t>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2018 год</w:t>
      </w:r>
    </w:p>
    <w:p>
      <w:pPr>
        <w:pStyle w:val="Normal"/>
        <w:widowControl w:val="false"/>
        <w:numPr>
          <w:ilvl w:val="0"/>
          <w:numId w:val="0"/>
        </w:numPr>
        <w:spacing w:lineRule="auto" w:line="240" w:before="69" w:after="0"/>
        <w:ind w:left="2977" w:hanging="0"/>
        <w:outlineLvl w:val="3"/>
        <w:rPr>
          <w:rFonts w:ascii="Times New Roman" w:hAnsi="Times New Roman" w:eastAsia="Arial" w:cs="Times New Roman"/>
          <w:b/>
          <w:b/>
          <w:bCs/>
          <w:spacing w:val="-1"/>
          <w:sz w:val="28"/>
          <w:szCs w:val="28"/>
          <w:lang w:eastAsia="en-US"/>
        </w:rPr>
      </w:pPr>
      <w:r>
        <w:rPr>
          <w:rFonts w:eastAsia="Arial" w:cs="Times New Roman" w:ascii="Times New Roman" w:hAnsi="Times New Roman"/>
          <w:b/>
          <w:bCs/>
          <w:spacing w:val="-1"/>
          <w:sz w:val="28"/>
          <w:szCs w:val="28"/>
          <w:lang w:eastAsia="en-US"/>
        </w:rPr>
      </w:r>
    </w:p>
    <w:p>
      <w:pPr>
        <w:pStyle w:val="Normal"/>
        <w:widowControl w:val="false"/>
        <w:numPr>
          <w:ilvl w:val="0"/>
          <w:numId w:val="0"/>
        </w:numPr>
        <w:spacing w:lineRule="auto" w:line="240" w:before="0" w:after="0"/>
        <w:ind w:left="5103" w:hanging="0"/>
        <w:jc w:val="right"/>
        <w:outlineLvl w:val="3"/>
        <w:rPr>
          <w:rFonts w:ascii="Times New Roman" w:hAnsi="Times New Roman" w:eastAsia="Arial" w:cs="Times New Roman"/>
          <w:bCs/>
          <w:spacing w:val="25"/>
          <w:w w:val="99"/>
          <w:sz w:val="28"/>
          <w:szCs w:val="28"/>
          <w:lang w:eastAsia="en-US"/>
        </w:rPr>
      </w:pPr>
      <w:r>
        <w:rPr>
          <w:rFonts w:eastAsia="Arial" w:cs="Times New Roman" w:ascii="Times New Roman" w:hAnsi="Times New Roman"/>
          <w:bCs/>
          <w:spacing w:val="-1"/>
          <w:sz w:val="28"/>
          <w:szCs w:val="28"/>
          <w:lang w:eastAsia="en-US"/>
        </w:rPr>
        <w:t xml:space="preserve">Схема теплоснабжения Азейского сельского поселения на </w:t>
      </w:r>
      <w:r>
        <w:rPr>
          <w:rFonts w:eastAsia="Arial" w:cs="Times New Roman" w:ascii="Times New Roman" w:hAnsi="Times New Roman"/>
          <w:bCs/>
          <w:sz w:val="28"/>
          <w:szCs w:val="28"/>
          <w:lang w:eastAsia="en-US"/>
        </w:rPr>
        <w:t xml:space="preserve">период </w:t>
      </w:r>
      <w:r>
        <w:rPr>
          <w:rFonts w:eastAsia="Arial" w:cs="Times New Roman" w:ascii="Times New Roman" w:hAnsi="Times New Roman"/>
          <w:bCs/>
          <w:spacing w:val="-1"/>
          <w:sz w:val="28"/>
          <w:szCs w:val="28"/>
          <w:lang w:eastAsia="en-US"/>
        </w:rPr>
        <w:t>до 2032 года</w:t>
      </w:r>
    </w:p>
    <w:p>
      <w:pPr>
        <w:pStyle w:val="Normal"/>
        <w:rPr>
          <w:rFonts w:ascii="Times New Roman" w:hAnsi="Times New Roman" w:eastAsia="Times New Roman" w:cs="Times New Roman"/>
          <w:sz w:val="24"/>
          <w:szCs w:val="28"/>
        </w:rPr>
      </w:pPr>
      <w:r>
        <w:rPr>
          <w:rFonts w:eastAsia="Times New Roman" w:cs="Times New Roman" w:ascii="Times New Roman" w:hAnsi="Times New Roman"/>
          <w:sz w:val="24"/>
          <w:szCs w:val="28"/>
        </w:rPr>
      </w:r>
    </w:p>
    <w:p>
      <w:pPr>
        <w:pStyle w:val="Normal"/>
        <w:widowControl w:val="false"/>
        <w:spacing w:lineRule="exact" w:line="41"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right="240" w:hanging="0"/>
        <w:rPr>
          <w:rFonts w:ascii="Times New Roman" w:hAnsi="Times New Roman" w:cs="Times New Roman"/>
          <w:sz w:val="24"/>
          <w:szCs w:val="28"/>
        </w:rPr>
      </w:pPr>
      <w:r>
        <w:rPr>
          <w:rFonts w:cs="Times New Roman" w:ascii="Times New Roman" w:hAnsi="Times New Roman"/>
          <w:sz w:val="24"/>
          <w:szCs w:val="28"/>
        </w:rPr>
        <w:t>ВВЕДЕНИЕ………………………………………………………….………...………………….. 4</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bCs/>
          <w:sz w:val="24"/>
          <w:szCs w:val="28"/>
        </w:rPr>
        <w:t>1. СХЕМА ТЕПЛОСНАБЖЕНИЯ (Утверждаемая часть)</w:t>
      </w:r>
      <w:r>
        <w:rPr>
          <w:rFonts w:cs="Times New Roman" w:ascii="Times New Roman" w:hAnsi="Times New Roman"/>
          <w:sz w:val="24"/>
          <w:szCs w:val="28"/>
        </w:rPr>
        <w:t>............................................................ 5</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left="360" w:right="240" w:hanging="0"/>
        <w:rPr>
          <w:rFonts w:ascii="Times New Roman" w:hAnsi="Times New Roman" w:cs="Times New Roman"/>
          <w:sz w:val="24"/>
          <w:szCs w:val="28"/>
        </w:rPr>
      </w:pPr>
      <w:r>
        <w:rPr>
          <w:rFonts w:cs="Times New Roman" w:ascii="Times New Roman" w:hAnsi="Times New Roman"/>
          <w:sz w:val="24"/>
          <w:szCs w:val="28"/>
        </w:rPr>
        <w:t>1.1. Показатели перспективного спроса на тепловую энергию (мощность) и теплоноситель в установленных границах территории поселения…………………...….... 5</w:t>
      </w:r>
    </w:p>
    <w:p>
      <w:pPr>
        <w:pStyle w:val="Normal"/>
        <w:widowControl w:val="false"/>
        <w:overflowPunct w:val="true"/>
        <w:spacing w:lineRule="auto" w:line="240" w:before="0" w:after="0"/>
        <w:ind w:left="360" w:right="240" w:hanging="0"/>
        <w:rPr>
          <w:rFonts w:ascii="Times New Roman" w:hAnsi="Times New Roman" w:cs="Times New Roman"/>
          <w:sz w:val="24"/>
          <w:szCs w:val="28"/>
        </w:rPr>
      </w:pPr>
      <w:r>
        <w:rPr>
          <w:rFonts w:cs="Times New Roman" w:ascii="Times New Roman" w:hAnsi="Times New Roman"/>
          <w:sz w:val="24"/>
          <w:szCs w:val="28"/>
        </w:rPr>
        <w:t>1.2. Перспективные балансы располагаемой тепловой мощности источников тепловой энергии и тепловой нагрузки………………………….……………………...……….……... 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1.3. Перспективные балансы теплоносителя………………………….……………………..7</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1.4. Предложения по новому строительству, реконструкции и техническому перевооружению источников тепловой энергии……………………………………….........8</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1.5. Предложения по новому строительству и реконструкции тепловых сетей и сооружений на них……………………………………………………………………..…...…11</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1.6. Перспективные топливные балансы………………………………………………..……12</w:t>
      </w:r>
    </w:p>
    <w:p>
      <w:pPr>
        <w:pStyle w:val="Normal"/>
        <w:widowControl w:val="false"/>
        <w:overflowPunct w:val="true"/>
        <w:spacing w:lineRule="auto" w:line="240" w:before="0" w:after="0"/>
        <w:ind w:left="360" w:right="120" w:hanging="0"/>
        <w:jc w:val="both"/>
        <w:rPr>
          <w:rFonts w:ascii="Times New Roman" w:hAnsi="Times New Roman" w:cs="Times New Roman"/>
          <w:sz w:val="24"/>
          <w:szCs w:val="28"/>
        </w:rPr>
      </w:pPr>
      <w:r>
        <w:rPr>
          <w:rFonts w:cs="Times New Roman" w:ascii="Times New Roman" w:hAnsi="Times New Roman"/>
          <w:sz w:val="24"/>
          <w:szCs w:val="28"/>
        </w:rPr>
        <w:t>1.7. Инвестиции в новое строительство, реконструкцию и техническое перевооружение.13</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1.8. Решение о выборе единой теплоснабжающей организации………………………….....15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1.9. Решение о распределении тепловой нагрузки между источниками теплоэнергии…. ..16</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1.10. Решения по бесхозяйным тепловым сетям………………………………………….…..16</w:t>
      </w:r>
    </w:p>
    <w:p>
      <w:pPr>
        <w:pStyle w:val="Normal"/>
        <w:widowControl w:val="false"/>
        <w:spacing w:lineRule="exact" w:line="328"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bCs/>
          <w:sz w:val="24"/>
          <w:szCs w:val="28"/>
        </w:rPr>
        <w:t>2. ОБОСНОВЫВАЮЩИЕ МАТЕРИАЛЫ К СХЕМЕ ТЕПЛОСНАБЖЕНИЯ...</w:t>
      </w:r>
      <w:r>
        <w:rPr>
          <w:rFonts w:cs="Times New Roman" w:ascii="Times New Roman" w:hAnsi="Times New Roman"/>
          <w:sz w:val="24"/>
          <w:szCs w:val="28"/>
        </w:rPr>
        <w:t>.……………....17</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2.1. Существующее положение в сфере производства, передачи и потребления тепловой энергии для целей теплоснабжения………………………………………………………..…17</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2.2. Перспективное потребление тепловой энергии на цели теплоснабжения………….….29</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2.3. Перспективные балансы тепловой мощности источников тепловой энергии и тепловой нагрузки…………………….……………………………………………………….30</w:t>
      </w:r>
    </w:p>
    <w:p>
      <w:pPr>
        <w:pStyle w:val="Normal"/>
        <w:widowControl w:val="false"/>
        <w:overflowPunct w:val="true"/>
        <w:spacing w:lineRule="auto" w:line="240" w:before="0" w:after="0"/>
        <w:ind w:left="360" w:right="-24" w:hanging="0"/>
        <w:rPr>
          <w:rFonts w:ascii="Times New Roman" w:hAnsi="Times New Roman" w:cs="Times New Roman"/>
          <w:sz w:val="24"/>
          <w:szCs w:val="28"/>
        </w:rPr>
      </w:pPr>
      <w:r>
        <w:rPr>
          <w:rFonts w:cs="Times New Roman" w:ascii="Times New Roman" w:hAnsi="Times New Roman"/>
          <w:sz w:val="24"/>
          <w:szCs w:val="28"/>
        </w:rPr>
        <w:t>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установками……….31</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2.5. Предложения по строительству, реконструкции и техническому перевооружению источников тепловой энергии…………………………………………………………………33</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2.6. Предложения по новому строительству и реконструкции тепловых сетей и сооружений на них……………………………………………………………………………………….…...35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2.7. Перспективные топливные балансы…………………………………………….……...35</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2.8. Обоснование инвестиции в новое строительство, реконструкцию и техническое перевооружение………………………………………………………....................................36</w:t>
      </w:r>
    </w:p>
    <w:p>
      <w:pPr>
        <w:sectPr>
          <w:footerReference w:type="default" r:id="rId2"/>
          <w:type w:val="nextPage"/>
          <w:pgSz w:w="11906" w:h="16838"/>
          <w:pgMar w:left="1276" w:right="843" w:header="0" w:top="567" w:footer="720" w:bottom="851" w:gutter="0"/>
          <w:pgNumType w:start="1" w:fmt="decimal"/>
          <w:formProt w:val="false"/>
          <w:titlePg/>
          <w:textDirection w:val="lrTb"/>
          <w:docGrid w:type="default" w:linePitch="299" w:charSpace="4096"/>
        </w:sectPr>
        <w:pStyle w:val="Normal"/>
        <w:widowControl w:val="false"/>
        <w:overflowPunct w:val="true"/>
        <w:spacing w:lineRule="auto" w:line="240" w:before="0" w:after="0"/>
        <w:ind w:left="360" w:hanging="0"/>
        <w:rPr>
          <w:rFonts w:ascii="Times New Roman" w:hAnsi="Times New Roman" w:cs="Times New Roman"/>
          <w:sz w:val="28"/>
          <w:szCs w:val="28"/>
        </w:rPr>
      </w:pPr>
      <w:r>
        <w:rPr>
          <w:rFonts w:cs="Times New Roman" w:ascii="Times New Roman" w:hAnsi="Times New Roman"/>
          <w:sz w:val="24"/>
          <w:szCs w:val="28"/>
        </w:rPr>
        <w:t>2.9. Обоснование предложения по определению единой снабжающей организации…3</w:t>
      </w:r>
      <w:bookmarkStart w:id="0" w:name="_GoBack"/>
      <w:bookmarkEnd w:id="0"/>
      <w:r>
        <w:rPr>
          <w:rFonts w:cs="Times New Roman" w:ascii="Times New Roman" w:hAnsi="Times New Roman"/>
          <w:sz w:val="24"/>
          <w:szCs w:val="28"/>
        </w:rPr>
        <w:t>8</w:t>
      </w:r>
    </w:p>
    <w:p>
      <w:pPr>
        <w:pStyle w:val="Normal"/>
        <w:widowControl w:val="false"/>
        <w:spacing w:lineRule="auto" w:line="240" w:before="0" w:after="0"/>
        <w:ind w:firstLine="720"/>
        <w:jc w:val="both"/>
        <w:rPr>
          <w:rStyle w:val="Strong"/>
          <w:rFonts w:ascii="Times New Roman" w:hAnsi="Times New Roman" w:cs="Times New Roman"/>
          <w:b w:val="false"/>
          <w:b w:val="false"/>
          <w:sz w:val="28"/>
          <w:szCs w:val="28"/>
        </w:rPr>
      </w:pPr>
      <w:bookmarkStart w:id="1" w:name="page5"/>
      <w:bookmarkEnd w:id="1"/>
      <w:r>
        <w:rPr>
          <w:rStyle w:val="Strong"/>
          <w:rFonts w:cs="Times New Roman" w:ascii="Times New Roman" w:hAnsi="Times New Roman"/>
          <w:b w:val="false"/>
          <w:sz w:val="28"/>
          <w:szCs w:val="28"/>
        </w:rPr>
        <w:t>ВВЕДЕНИЕ</w:t>
      </w:r>
    </w:p>
    <w:p>
      <w:pPr>
        <w:pStyle w:val="Normal"/>
        <w:widowControl w:val="false"/>
        <w:spacing w:lineRule="auto" w:line="240" w:before="0" w:after="0"/>
        <w:jc w:val="both"/>
        <w:rPr>
          <w:rStyle w:val="Strong"/>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9"/>
        <w:spacing w:before="0" w:after="0"/>
        <w:rPr>
          <w:rStyle w:val="Strong"/>
          <w:b w:val="false"/>
          <w:b w:val="false"/>
          <w:szCs w:val="28"/>
        </w:rPr>
      </w:pPr>
      <w:r>
        <w:rPr>
          <w:rStyle w:val="Strong"/>
          <w:b w:val="false"/>
          <w:szCs w:val="28"/>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w:t>
      </w:r>
    </w:p>
    <w:p>
      <w:pPr>
        <w:pStyle w:val="Style29"/>
        <w:spacing w:before="0" w:after="0"/>
        <w:rPr>
          <w:rStyle w:val="Strong"/>
          <w:b w:val="false"/>
          <w:b w:val="false"/>
          <w:szCs w:val="28"/>
        </w:rPr>
      </w:pPr>
      <w:r>
        <w:rPr>
          <w:rStyle w:val="Strong"/>
          <w:b w:val="false"/>
          <w:szCs w:val="28"/>
        </w:rPr>
        <w:t xml:space="preserve">Схема теплоснабжения </w:t>
      </w:r>
      <w:r>
        <w:rPr>
          <w:rFonts w:eastAsia="Times New Roman"/>
        </w:rPr>
        <w:t>Азейского сельского поселения Тулунского района</w:t>
      </w:r>
      <w:r>
        <w:rPr>
          <w:rStyle w:val="Strong"/>
          <w:b w:val="false"/>
          <w:szCs w:val="28"/>
        </w:rPr>
        <w:t xml:space="preserve"> Иркутской области разработана на основании заказа и задания на проектирование, выданных Администрацией Азейского СП.</w:t>
      </w:r>
    </w:p>
    <w:p>
      <w:pPr>
        <w:pStyle w:val="Normal"/>
        <w:widowControl w:val="false"/>
        <w:overflowPunct w:val="true"/>
        <w:spacing w:lineRule="auto" w:line="240" w:before="0" w:after="0"/>
        <w:ind w:firstLine="720"/>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При выполнение настоящей работы были использованы следующие материалы:</w:t>
      </w:r>
    </w:p>
    <w:p>
      <w:pPr>
        <w:pStyle w:val="Normal"/>
        <w:widowControl w:val="false"/>
        <w:tabs>
          <w:tab w:val="left" w:pos="1134" w:leader="none"/>
        </w:tabs>
        <w:overflowPunct w:val="true"/>
        <w:spacing w:lineRule="auto" w:line="240" w:before="0" w:after="0"/>
        <w:ind w:firstLine="720"/>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 </w:t>
        <w:tab/>
        <w:t xml:space="preserve">«Генеральный план </w:t>
      </w:r>
      <w:r>
        <w:rPr>
          <w:rFonts w:eastAsia="Times New Roman" w:cs="Times New Roman" w:ascii="Times New Roman" w:hAnsi="Times New Roman"/>
          <w:sz w:val="28"/>
          <w:szCs w:val="28"/>
        </w:rPr>
        <w:t>Азейского сельского поселения Тулунского района</w:t>
      </w:r>
      <w:r>
        <w:rPr>
          <w:rStyle w:val="Strong"/>
          <w:rFonts w:cs="Times New Roman" w:ascii="Times New Roman" w:hAnsi="Times New Roman"/>
          <w:b w:val="false"/>
          <w:sz w:val="28"/>
          <w:szCs w:val="28"/>
        </w:rPr>
        <w:t xml:space="preserve"> Иркутской области», разработанный в 2013 году ООО «Градостроительство»;</w:t>
      </w:r>
    </w:p>
    <w:p>
      <w:pPr>
        <w:pStyle w:val="Normal"/>
        <w:widowControl w:val="false"/>
        <w:numPr>
          <w:ilvl w:val="0"/>
          <w:numId w:val="1"/>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проектная и исполнительная документация по источникам тепла, тепловым сетям;</w:t>
      </w:r>
    </w:p>
    <w:p>
      <w:pPr>
        <w:pStyle w:val="Normal"/>
        <w:widowControl w:val="false"/>
        <w:numPr>
          <w:ilvl w:val="0"/>
          <w:numId w:val="2"/>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эксплуатационная документация (расчетные температурные графики, данные по присоединенным тепловым нагрузкам); </w:t>
      </w:r>
    </w:p>
    <w:p>
      <w:pPr>
        <w:pStyle w:val="Style30"/>
        <w:numPr>
          <w:ilvl w:val="0"/>
          <w:numId w:val="2"/>
        </w:numPr>
        <w:ind w:left="0" w:firstLine="719"/>
        <w:rPr>
          <w:rStyle w:val="Strong"/>
          <w:b w:val="false"/>
          <w:b w:val="false"/>
          <w:sz w:val="28"/>
          <w:szCs w:val="28"/>
        </w:rPr>
      </w:pPr>
      <w:r>
        <w:rPr>
          <w:rStyle w:val="Strong"/>
          <w:b w:val="false"/>
          <w:sz w:val="28"/>
          <w:szCs w:val="28"/>
        </w:rPr>
        <w:t>документы по хозяйственной и финансовой деятельности (действующие нормы и нормативы, тарифы и их составляющие);</w:t>
      </w:r>
    </w:p>
    <w:p>
      <w:pPr>
        <w:pStyle w:val="Style30"/>
        <w:numPr>
          <w:ilvl w:val="0"/>
          <w:numId w:val="2"/>
        </w:numPr>
        <w:ind w:left="0" w:firstLine="719"/>
        <w:rPr>
          <w:rStyle w:val="Strong"/>
          <w:b w:val="false"/>
          <w:b w:val="false"/>
          <w:sz w:val="28"/>
          <w:szCs w:val="28"/>
        </w:rPr>
      </w:pPr>
      <w:r>
        <w:rPr>
          <w:rStyle w:val="Strong"/>
          <w:b w:val="false"/>
          <w:sz w:val="28"/>
          <w:szCs w:val="28"/>
        </w:rPr>
        <w:t xml:space="preserve">утвержденные нормативы технологических потерь при передаче тепловой энергии; </w:t>
      </w:r>
    </w:p>
    <w:p>
      <w:pPr>
        <w:pStyle w:val="Normal"/>
        <w:widowControl w:val="false"/>
        <w:numPr>
          <w:ilvl w:val="0"/>
          <w:numId w:val="3"/>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утвержденные нормативы удельного расхода топлива на отпущенную тепловую энергию. </w:t>
      </w:r>
    </w:p>
    <w:p>
      <w:pPr>
        <w:pStyle w:val="Style29"/>
        <w:spacing w:before="0" w:after="0"/>
        <w:rPr>
          <w:rStyle w:val="Strong"/>
          <w:b w:val="false"/>
          <w:b w:val="false"/>
          <w:szCs w:val="28"/>
        </w:rPr>
      </w:pPr>
      <w:r>
        <w:rPr>
          <w:rStyle w:val="Strong"/>
          <w:b w:val="false"/>
          <w:szCs w:val="28"/>
        </w:rPr>
        <w:t>Схема теплоснабжения разработана в соответствии с следующими документами:</w:t>
      </w:r>
    </w:p>
    <w:p>
      <w:pPr>
        <w:pStyle w:val="Style29"/>
        <w:spacing w:before="0" w:after="0"/>
        <w:rPr>
          <w:rStyle w:val="Strong"/>
          <w:b w:val="false"/>
          <w:b w:val="false"/>
          <w:szCs w:val="28"/>
        </w:rPr>
      </w:pPr>
      <w:r>
        <w:rPr>
          <w:rStyle w:val="Strong"/>
          <w:b w:val="false"/>
          <w:szCs w:val="28"/>
        </w:rPr>
        <w:t>-</w:t>
        <w:tab/>
        <w:tab/>
        <w:t>Федеральный закон Российской Федерации от 27.07.2010 №190-ФЗ «О теплоснабжении»;</w:t>
      </w:r>
    </w:p>
    <w:p>
      <w:pPr>
        <w:pStyle w:val="Style29"/>
        <w:spacing w:before="0" w:after="0"/>
        <w:rPr>
          <w:rStyle w:val="Strong"/>
          <w:b w:val="false"/>
          <w:b w:val="false"/>
          <w:szCs w:val="28"/>
        </w:rPr>
      </w:pPr>
      <w:bookmarkStart w:id="2" w:name="page7"/>
      <w:bookmarkEnd w:id="2"/>
      <w:r>
        <w:rPr>
          <w:rStyle w:val="Strong"/>
          <w:b w:val="false"/>
          <w:szCs w:val="28"/>
        </w:rPr>
        <w:t>-</w:t>
        <w:tab/>
        <w:tab/>
        <w:t>Постановление Правительства Российской Федерации № 154 от 22.02.2012 г. «О требованиях к схемам теплоснабжения, порядку их разработки и утверждения».</w:t>
      </w:r>
    </w:p>
    <w:p>
      <w:pPr>
        <w:pStyle w:val="Normal"/>
        <w:widowControl w:val="false"/>
        <w:spacing w:lineRule="auto" w:line="240" w:before="0" w:after="0"/>
        <w:ind w:hanging="353"/>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Проектом рассмотрены два варианта развития системы теплоснабжения.</w:t>
      </w:r>
    </w:p>
    <w:p>
      <w:pPr>
        <w:pStyle w:val="Normal"/>
        <w:widowControl w:val="false"/>
        <w:overflowPunct w:val="true"/>
        <w:spacing w:lineRule="auto" w:line="240" w:before="0" w:after="0"/>
        <w:ind w:firstLine="567"/>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1 вариант – поэтапная реконструкция котельной с расширением зоны действия котельной и подключением перспективных потребителей; </w:t>
      </w:r>
    </w:p>
    <w:p>
      <w:pPr>
        <w:sectPr>
          <w:footerReference w:type="default" r:id="rId3"/>
          <w:type w:val="nextPage"/>
          <w:pgSz w:w="11906" w:h="16838"/>
          <w:pgMar w:left="1134" w:right="284" w:header="0" w:top="567" w:footer="720" w:bottom="851" w:gutter="0"/>
          <w:pgNumType w:fmt="decimal"/>
          <w:formProt w:val="false"/>
          <w:textDirection w:val="lrTb"/>
          <w:docGrid w:type="default" w:linePitch="100" w:charSpace="4096"/>
        </w:sectPr>
        <w:pStyle w:val="Normal"/>
        <w:widowControl w:val="false"/>
        <w:overflowPunct w:val="true"/>
        <w:spacing w:lineRule="auto" w:line="240" w:before="0" w:after="0"/>
        <w:ind w:firstLine="567"/>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2 вариант –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w:t>
      </w:r>
    </w:p>
    <w:p>
      <w:pPr>
        <w:pStyle w:val="Style29"/>
        <w:numPr>
          <w:ilvl w:val="0"/>
          <w:numId w:val="6"/>
        </w:numPr>
        <w:spacing w:before="0" w:after="0"/>
        <w:rPr>
          <w:sz w:val="24"/>
        </w:rPr>
      </w:pPr>
      <w:bookmarkStart w:id="3" w:name="page11"/>
      <w:bookmarkEnd w:id="3"/>
      <w:r>
        <w:rPr>
          <w:sz w:val="24"/>
        </w:rPr>
        <w:t>СХЕМА ТЕПЛОСНАБЖЕНИЯ (Утверждаемая часть)</w:t>
      </w:r>
    </w:p>
    <w:p>
      <w:pPr>
        <w:pStyle w:val="Style29"/>
        <w:spacing w:before="0" w:after="0"/>
        <w:ind w:left="927" w:hanging="0"/>
        <w:rPr>
          <w:sz w:val="24"/>
        </w:rPr>
      </w:pPr>
      <w:r>
        <w:rPr>
          <w:sz w:val="24"/>
        </w:rPr>
      </w:r>
    </w:p>
    <w:p>
      <w:pPr>
        <w:pStyle w:val="Style29"/>
        <w:spacing w:before="0" w:after="0"/>
        <w:rPr>
          <w:b/>
          <w:b/>
          <w:sz w:val="24"/>
        </w:rPr>
      </w:pPr>
      <w:r>
        <w:rPr>
          <w:b/>
          <w:sz w:val="24"/>
        </w:rPr>
        <w:t>1.1. Показатели перспективного спроса на тепловую энергию и теплоноситель в установленных границах сельского поселения</w:t>
      </w:r>
    </w:p>
    <w:p>
      <w:pPr>
        <w:pStyle w:val="Style29"/>
        <w:spacing w:before="0" w:after="0"/>
        <w:rPr>
          <w:b/>
          <w:b/>
          <w:sz w:val="24"/>
        </w:rPr>
      </w:pPr>
      <w:r>
        <w:rPr>
          <w:b/>
          <w:sz w:val="24"/>
        </w:rPr>
      </w:r>
    </w:p>
    <w:p>
      <w:pPr>
        <w:pStyle w:val="Style29"/>
        <w:spacing w:before="0" w:after="0"/>
        <w:rPr>
          <w:sz w:val="24"/>
        </w:rPr>
      </w:pPr>
      <w:r>
        <w:rPr>
          <w:sz w:val="24"/>
        </w:rPr>
        <w:t>Площадь строительных фондов и приросты площади строительных фондов Азейского СП с разделением объектов строительства представлены в таблице 1.1</w:t>
      </w:r>
    </w:p>
    <w:p>
      <w:pPr>
        <w:pStyle w:val="Style29"/>
        <w:spacing w:before="0" w:after="0"/>
        <w:rPr>
          <w:sz w:val="24"/>
        </w:rPr>
      </w:pPr>
      <w:r>
        <w:rPr>
          <w:sz w:val="24"/>
        </w:rPr>
      </w:r>
    </w:p>
    <w:p>
      <w:pPr>
        <w:pStyle w:val="Style29"/>
        <w:spacing w:before="0" w:after="0"/>
        <w:rPr>
          <w:sz w:val="24"/>
        </w:rPr>
      </w:pPr>
      <w:r>
        <w:rPr>
          <w:sz w:val="24"/>
        </w:rPr>
        <w:t>Таблица 1.1.– Характеристика существующих строительных фондов и прирост площади строительных фондов Азейского сельского поселения</w:t>
      </w:r>
    </w:p>
    <w:p>
      <w:pPr>
        <w:pStyle w:val="Style29"/>
        <w:spacing w:before="0" w:after="0"/>
        <w:rPr>
          <w:rFonts w:ascii="Arial" w:hAnsi="Arial" w:cs="Arial"/>
          <w:sz w:val="24"/>
        </w:rPr>
      </w:pPr>
      <w:r>
        <w:rPr>
          <w:rFonts w:cs="Arial" w:ascii="Arial" w:hAnsi="Arial"/>
          <w:sz w:val="24"/>
        </w:rPr>
      </w:r>
    </w:p>
    <w:tbl>
      <w:tblPr>
        <w:tblpPr w:bottomFromText="0" w:horzAnchor="margin" w:leftFromText="180" w:rightFromText="180" w:tblpX="0" w:tblpY="7" w:topFromText="0" w:vertAnchor="text"/>
        <w:tblW w:w="102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4399"/>
        <w:gridCol w:w="1555"/>
        <w:gridCol w:w="2273"/>
        <w:gridCol w:w="1978"/>
      </w:tblGrid>
      <w:tr>
        <w:trPr>
          <w:trHeight w:val="983"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5"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параметра</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Базовые</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 на первый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этап расчетного срока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генерального плана</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 на расчетный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срок генерального плана</w:t>
            </w:r>
          </w:p>
        </w:tc>
      </w:tr>
      <w:tr>
        <w:trPr>
          <w:trHeight w:val="292"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100" w:hanging="0"/>
              <w:jc w:val="center"/>
              <w:rPr>
                <w:rFonts w:ascii="Times New Roman" w:hAnsi="Times New Roman" w:cs="Times New Roman"/>
                <w:sz w:val="24"/>
                <w:szCs w:val="24"/>
              </w:rPr>
            </w:pPr>
            <w:r>
              <w:rPr>
                <w:rFonts w:cs="Times New Roman" w:ascii="Times New Roman" w:hAnsi="Times New Roman"/>
                <w:sz w:val="24"/>
                <w:szCs w:val="24"/>
              </w:rPr>
              <w:t>Площадь строительных фондов, тыс. м</w:t>
            </w:r>
            <w:r>
              <w:rPr>
                <w:rFonts w:cs="Times New Roman" w:ascii="Times New Roman" w:hAnsi="Times New Roman"/>
                <w:sz w:val="24"/>
                <w:szCs w:val="24"/>
                <w:vertAlign w:val="superscript"/>
              </w:rPr>
              <w:t>2</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Административно-общественные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объекта</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объекта</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объекта</w:t>
            </w:r>
          </w:p>
        </w:tc>
      </w:tr>
      <w:tr>
        <w:trPr>
          <w:trHeight w:val="346"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Индивидуальные жилые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16,0</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21,9</w:t>
            </w:r>
          </w:p>
        </w:tc>
      </w:tr>
      <w:tr>
        <w:trPr>
          <w:trHeight w:val="346"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Производственные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widowControl w:val="false"/>
        <w:spacing w:lineRule="auto" w:line="240" w:before="0" w:after="0"/>
        <w:ind w:left="100" w:hanging="0"/>
        <w:rPr>
          <w:rFonts w:ascii="Times New Roman" w:hAnsi="Times New Roman" w:cs="Times New Roman"/>
          <w:sz w:val="24"/>
          <w:szCs w:val="24"/>
        </w:rPr>
      </w:pPr>
      <w:r>
        <w:rPr>
          <w:rFonts w:cs="Times New Roman" w:ascii="Times New Roman" w:hAnsi="Times New Roman"/>
          <w:sz w:val="24"/>
          <w:szCs w:val="24"/>
        </w:rPr>
        <w:t>*Данные о площади перспективных административно-общественных фондов отсутствуют</w:t>
      </w:r>
    </w:p>
    <w:p>
      <w:pPr>
        <w:pStyle w:val="Normal"/>
        <w:widowControl w:val="false"/>
        <w:spacing w:lineRule="auto" w:line="240" w:before="0" w:after="0"/>
        <w:ind w:left="100" w:hanging="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Как видно из таблицы 1.1, прирост площади строительных фондов будет происходить за счет строительства индивидуальных жилых домов. Объемы потребления тепловой энергии и приросты потребления тепловой энергии с разделением по видам теплопотребления представлены в таблице 1.2.</w:t>
      </w:r>
    </w:p>
    <w:p>
      <w:pPr>
        <w:pStyle w:val="Style29"/>
        <w:spacing w:before="0" w:after="0"/>
        <w:rPr>
          <w:sz w:val="24"/>
        </w:rPr>
      </w:pPr>
      <w:r>
        <w:rPr>
          <w:sz w:val="24"/>
        </w:rPr>
      </w:r>
    </w:p>
    <w:p>
      <w:pPr>
        <w:pStyle w:val="Style29"/>
        <w:spacing w:before="0" w:after="0"/>
        <w:rPr>
          <w:sz w:val="24"/>
        </w:rPr>
      </w:pPr>
      <w:r>
        <w:rPr>
          <w:sz w:val="24"/>
        </w:rPr>
        <w:t>Таблица 1.2. – Объемы потребления тепловой энергии и приросты потребления тепловой энергии</w:t>
      </w:r>
    </w:p>
    <w:p>
      <w:pPr>
        <w:pStyle w:val="Style29"/>
        <w:spacing w:before="0" w:after="0"/>
        <w:rPr>
          <w:sz w:val="24"/>
        </w:rPr>
      </w:pPr>
      <w:r>
        <w:rPr>
          <w:sz w:val="24"/>
        </w:rPr>
      </w:r>
    </w:p>
    <w:tbl>
      <w:tblPr>
        <w:tblW w:w="10348" w:type="dxa"/>
        <w:jc w:val="left"/>
        <w:tblInd w:w="109" w:type="dxa"/>
        <w:tblBorders>
          <w:top w:val="single" w:sz="8" w:space="0" w:color="000001"/>
          <w:left w:val="single" w:sz="8" w:space="0" w:color="000001"/>
          <w:bottom w:val="single" w:sz="8" w:space="0" w:color="000001"/>
          <w:insideH w:val="single" w:sz="8" w:space="0" w:color="000001"/>
        </w:tblBorders>
        <w:tblCellMar>
          <w:top w:w="0" w:type="dxa"/>
          <w:left w:w="98" w:type="dxa"/>
          <w:bottom w:w="0" w:type="dxa"/>
          <w:right w:w="108" w:type="dxa"/>
        </w:tblCellMar>
        <w:tblLook w:firstRow="0" w:noVBand="0" w:lastRow="0" w:firstColumn="0" w:lastColumn="0" w:noHBand="0" w:val="0000"/>
      </w:tblPr>
      <w:tblGrid>
        <w:gridCol w:w="1701"/>
        <w:gridCol w:w="1276"/>
        <w:gridCol w:w="992"/>
        <w:gridCol w:w="1418"/>
        <w:gridCol w:w="1416"/>
        <w:gridCol w:w="1560"/>
        <w:gridCol w:w="993"/>
        <w:gridCol w:w="990"/>
      </w:tblGrid>
      <w:tr>
        <w:trPr>
          <w:trHeight w:val="495" w:hRule="atLeast"/>
        </w:trPr>
        <w:tc>
          <w:tcPr>
            <w:tcW w:w="1701"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СП</w:t>
            </w:r>
          </w:p>
        </w:tc>
        <w:tc>
          <w:tcPr>
            <w:tcW w:w="1276"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vertAlign w:val="superscript"/>
                <w:lang w:eastAsia="ar-SA"/>
              </w:rPr>
            </w:pPr>
            <w:r>
              <w:rPr>
                <w:rFonts w:eastAsia="Times New Roman" w:cs="Calibri" w:ascii="Times New Roman" w:hAnsi="Times New Roman"/>
                <w:b/>
                <w:sz w:val="24"/>
                <w:szCs w:val="24"/>
                <w:lang w:eastAsia="ar-SA"/>
              </w:rPr>
              <w:t>Общая площадь жилого фонда, тыс. м</w:t>
            </w:r>
            <w:r>
              <w:rPr>
                <w:rFonts w:eastAsia="Times New Roman" w:cs="Calibri" w:ascii="Times New Roman" w:hAnsi="Times New Roman"/>
                <w:b/>
                <w:sz w:val="24"/>
                <w:szCs w:val="24"/>
                <w:vertAlign w:val="superscript"/>
                <w:lang w:eastAsia="ar-SA"/>
              </w:rPr>
              <w:t>2</w:t>
            </w:r>
          </w:p>
        </w:tc>
        <w:tc>
          <w:tcPr>
            <w:tcW w:w="992"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Население, чел.</w:t>
            </w:r>
          </w:p>
        </w:tc>
        <w:tc>
          <w:tcPr>
            <w:tcW w:w="5387" w:type="dxa"/>
            <w:gridSpan w:val="4"/>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Тепловые нагрузки, МВт</w:t>
            </w:r>
          </w:p>
        </w:tc>
        <w:tc>
          <w:tcPr>
            <w:tcW w:w="9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то же, Гкал/ч</w:t>
            </w:r>
          </w:p>
        </w:tc>
      </w:tr>
      <w:tr>
        <w:trPr>
          <w:trHeight w:val="735" w:hRule="atLeast"/>
        </w:trPr>
        <w:tc>
          <w:tcPr>
            <w:tcW w:w="1701"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1276"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992"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1418"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Отопление жил.зд.</w:t>
            </w:r>
          </w:p>
        </w:tc>
        <w:tc>
          <w:tcPr>
            <w:tcW w:w="1416"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Отопл. и гор.водосн общ. зд.</w:t>
            </w:r>
          </w:p>
        </w:tc>
        <w:tc>
          <w:tcPr>
            <w:tcW w:w="1560"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Вентиляция</w:t>
            </w:r>
          </w:p>
        </w:tc>
        <w:tc>
          <w:tcPr>
            <w:tcW w:w="993"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Итого</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Итого</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9</w:t>
            </w:r>
          </w:p>
        </w:tc>
      </w:tr>
      <w:tr>
        <w:trPr>
          <w:trHeight w:val="270" w:hRule="atLeast"/>
        </w:trPr>
        <w:tc>
          <w:tcPr>
            <w:tcW w:w="10346"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I очередь</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Азейское СП</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16,0</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781</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3,44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0,86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0,37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4,67</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4,01</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Всего</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16,0</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781</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3,44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0,86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0,37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4,67</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4,01</w:t>
            </w:r>
          </w:p>
        </w:tc>
      </w:tr>
      <w:tr>
        <w:trPr>
          <w:trHeight w:val="270" w:hRule="atLeast"/>
        </w:trPr>
        <w:tc>
          <w:tcPr>
            <w:tcW w:w="10346"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Расчётный срок</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Азейское СП</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21,9</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859</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4,54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1,14</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0,54</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6,23</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5,36</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Всего</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21,9</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859</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4,54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1,14</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0,54</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6,23</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5,36</w:t>
            </w:r>
          </w:p>
        </w:tc>
      </w:tr>
    </w:tbl>
    <w:p>
      <w:pPr>
        <w:pStyle w:val="Style29"/>
        <w:spacing w:lineRule="auto" w:line="360"/>
        <w:rPr>
          <w:sz w:val="24"/>
        </w:rPr>
      </w:pPr>
      <w:r>
        <w:rPr>
          <w:sz w:val="24"/>
        </w:rPr>
        <w:t>Как видно из таблицы 1.1, прирост объемов потребления тепловой энергии в Азейском СП будет происходить за счет индивидуальных жилых домов.</w:t>
      </w:r>
    </w:p>
    <w:p>
      <w:pPr>
        <w:pStyle w:val="Style29"/>
        <w:spacing w:lineRule="auto" w:line="360"/>
        <w:rPr>
          <w:b/>
          <w:b/>
          <w:sz w:val="24"/>
        </w:rPr>
      </w:pPr>
      <w:bookmarkStart w:id="4" w:name="page15"/>
      <w:bookmarkStart w:id="5" w:name="page13"/>
      <w:bookmarkEnd w:id="4"/>
      <w:bookmarkEnd w:id="5"/>
      <w:r>
        <w:rPr>
          <w:b/>
          <w:sz w:val="24"/>
        </w:rPr>
        <w:t>1.2.Перспективные балансы располагаемой тепловой мощности источников тепловой энергии и тепловой нагрузки</w:t>
      </w:r>
    </w:p>
    <w:p>
      <w:pPr>
        <w:pStyle w:val="Style29"/>
        <w:spacing w:lineRule="auto" w:line="360"/>
        <w:rPr>
          <w:b/>
          <w:b/>
          <w:sz w:val="24"/>
        </w:rPr>
      </w:pPr>
      <w:r>
        <w:rPr>
          <w:b/>
          <w:sz w:val="24"/>
        </w:rPr>
        <w:t>1.2.1. Описание существующих и перспективных зон действия систем теплоснабжения и источников тепловой энергии</w:t>
      </w:r>
    </w:p>
    <w:p>
      <w:pPr>
        <w:pStyle w:val="Style29"/>
        <w:spacing w:before="0" w:after="0"/>
        <w:rPr>
          <w:sz w:val="24"/>
        </w:rPr>
      </w:pPr>
      <w:r>
        <w:rPr>
          <w:sz w:val="24"/>
        </w:rPr>
        <w:t>В селе Азей находится одна котельная, мощность которой составляет 2,00 Гкал/ч, количество котлов – 2 шт. Тепловая нагрузка котельной составляет 0,7 Гкал/ч. Объектами теплоснабжения в с. Азей являются – 12 жилых домов, МОУ «Азейская СОШ», водозабор, КНС. Котельная введена в эксплуатацию в 1972 году.</w:t>
      </w:r>
    </w:p>
    <w:p>
      <w:pPr>
        <w:pStyle w:val="Style29"/>
        <w:spacing w:before="0" w:after="0"/>
        <w:rPr>
          <w:sz w:val="24"/>
        </w:rPr>
      </w:pPr>
      <w:r>
        <w:rPr>
          <w:sz w:val="24"/>
        </w:rPr>
        <w:t>Зона теплоснабжения котельной приведена на рисунке 1.2.1.</w:t>
      </w:r>
    </w:p>
    <w:p>
      <w:pPr>
        <w:pStyle w:val="Style29"/>
        <w:ind w:hanging="0"/>
        <w:rPr/>
      </w:pPr>
      <w:r>
        <w:rPr/>
        <w:drawing>
          <wp:inline distT="0" distB="6985" distL="0" distR="0">
            <wp:extent cx="5582285" cy="4508500"/>
            <wp:effectExtent l="0" t="0" r="0" b="0"/>
            <wp:docPr id="1"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descr=""/>
                    <pic:cNvPicPr>
                      <a:picLocks noChangeAspect="1" noChangeArrowheads="1"/>
                    </pic:cNvPicPr>
                  </pic:nvPicPr>
                  <pic:blipFill>
                    <a:blip r:embed="rId4"/>
                    <a:stretch>
                      <a:fillRect/>
                    </a:stretch>
                  </pic:blipFill>
                  <pic:spPr bwMode="auto">
                    <a:xfrm>
                      <a:off x="0" y="0"/>
                      <a:ext cx="5582285" cy="4508500"/>
                    </a:xfrm>
                    <a:prstGeom prst="rect">
                      <a:avLst/>
                    </a:prstGeom>
                  </pic:spPr>
                </pic:pic>
              </a:graphicData>
            </a:graphic>
          </wp:inline>
        </w:drawing>
      </w:r>
    </w:p>
    <w:p>
      <w:pPr>
        <w:pStyle w:val="Style29"/>
        <w:ind w:hanging="0"/>
        <w:rPr>
          <w:sz w:val="24"/>
        </w:rPr>
      </w:pPr>
      <w:r>
        <w:rPr>
          <w:sz w:val="24"/>
        </w:rPr>
        <w:t>Рисунок 1.2.1. – Зона теплоснабжения котельной</w:t>
      </w:r>
    </w:p>
    <w:p>
      <w:pPr>
        <w:pStyle w:val="Style29"/>
        <w:spacing w:before="0" w:after="0"/>
        <w:rPr>
          <w:b/>
          <w:b/>
          <w:sz w:val="24"/>
        </w:rPr>
      </w:pPr>
      <w:bookmarkStart w:id="6" w:name="page21"/>
      <w:bookmarkStart w:id="7" w:name="page19"/>
      <w:bookmarkEnd w:id="6"/>
      <w:bookmarkEnd w:id="7"/>
      <w:r>
        <w:rPr>
          <w:b/>
          <w:sz w:val="24"/>
        </w:rPr>
        <w:t>1.2.2. Описание существующих и перспективных зон действия индивидуальных источников теплоснабжения</w:t>
      </w:r>
    </w:p>
    <w:p>
      <w:pPr>
        <w:pStyle w:val="Style29"/>
        <w:spacing w:before="0" w:after="0"/>
        <w:rPr>
          <w:b/>
          <w:b/>
          <w:sz w:val="24"/>
        </w:rPr>
      </w:pPr>
      <w:r>
        <w:rPr>
          <w:b/>
          <w:sz w:val="24"/>
        </w:rPr>
      </w:r>
    </w:p>
    <w:p>
      <w:pPr>
        <w:pStyle w:val="Style29"/>
        <w:spacing w:before="0" w:after="0"/>
        <w:rPr>
          <w:sz w:val="24"/>
        </w:rPr>
      </w:pPr>
      <w:r>
        <w:rPr>
          <w:sz w:val="24"/>
        </w:rPr>
        <w:t>Жилищный фонд обеспечен теплоснабжением от индивидуальных источников теплоснабжения, лишь 11 домов подключены к централизованному отоплению.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Ориентировочная</w:t>
      </w:r>
      <w:bookmarkStart w:id="8" w:name="page27"/>
      <w:bookmarkEnd w:id="8"/>
      <w:r>
        <w:rPr>
          <w:sz w:val="24"/>
        </w:rPr>
        <w:t xml:space="preserve"> оценка показывает, что тепловая нагрузка отопления, обеспечиваемая от индивидуальных теплогенераторов, составляет около 4,01 Гкал/ч.</w:t>
      </w:r>
    </w:p>
    <w:p>
      <w:pPr>
        <w:pStyle w:val="Style29"/>
        <w:spacing w:before="0" w:after="0"/>
        <w:rPr>
          <w:sz w:val="24"/>
        </w:rPr>
      </w:pPr>
      <w:r>
        <w:rPr>
          <w:sz w:val="24"/>
        </w:rPr>
        <w:t>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 так и на новых участках в планируемых границах. Согласно Генеральному плану сельского поселения, площадки под развитие жилищного строительства на территории сельского поселения Азейского, предусматривались в селе Азей за существующими границами населённого пункта, площадью 11,43 га. На новых участках планируется индивидуальная застройка одноквартирными и двухквартирными жилыми домами с приусадебными участками.</w:t>
      </w:r>
    </w:p>
    <w:p>
      <w:pPr>
        <w:pStyle w:val="Style29"/>
        <w:spacing w:before="0" w:after="0"/>
        <w:rPr>
          <w:b/>
          <w:b/>
          <w:sz w:val="24"/>
        </w:rPr>
      </w:pPr>
      <w:r>
        <w:rPr>
          <w:b/>
          <w:sz w:val="24"/>
        </w:rPr>
      </w:r>
    </w:p>
    <w:p>
      <w:pPr>
        <w:pStyle w:val="Style29"/>
        <w:spacing w:before="0" w:after="0"/>
        <w:rPr>
          <w:b/>
          <w:b/>
          <w:sz w:val="24"/>
        </w:rPr>
      </w:pPr>
      <w:r>
        <w:rPr>
          <w:b/>
          <w:sz w:val="24"/>
        </w:rPr>
        <w:t>1.2.3. Перспективные балансы тепловой мощности и тепловой нагрузки в зонах действия источников тепловой энергии</w:t>
      </w:r>
    </w:p>
    <w:p>
      <w:pPr>
        <w:pStyle w:val="Style29"/>
        <w:spacing w:before="0" w:after="0"/>
        <w:rPr>
          <w:b/>
          <w:b/>
          <w:sz w:val="24"/>
        </w:rPr>
      </w:pPr>
      <w:r>
        <w:rPr>
          <w:b/>
          <w:sz w:val="24"/>
        </w:rPr>
      </w:r>
    </w:p>
    <w:p>
      <w:pPr>
        <w:pStyle w:val="Style29"/>
        <w:spacing w:before="0" w:after="0"/>
        <w:rPr>
          <w:sz w:val="24"/>
        </w:rPr>
      </w:pPr>
      <w:bookmarkStart w:id="9" w:name="page37"/>
      <w:bookmarkEnd w:id="9"/>
      <w:r>
        <w:rPr>
          <w:sz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pPr>
        <w:pStyle w:val="Style29"/>
        <w:spacing w:before="0" w:after="0"/>
        <w:rPr>
          <w:sz w:val="24"/>
        </w:rPr>
      </w:pPr>
      <w:r>
        <w:rPr>
          <w:sz w:val="24"/>
        </w:rPr>
        <w:t xml:space="preserve">Расчеты теплоты произведены для расчётной температуры наружного воздуха на отопление </w:t>
      </w:r>
      <w:r>
        <w:rPr>
          <w:sz w:val="24"/>
          <w:lang w:val="en-US"/>
        </w:rPr>
        <w:t>t</w:t>
      </w:r>
      <w:r>
        <w:rPr>
          <w:sz w:val="24"/>
        </w:rPr>
        <w:t>=-43°</w:t>
      </w:r>
      <w:r>
        <w:rPr>
          <w:sz w:val="24"/>
          <w:lang w:val="en-US"/>
        </w:rPr>
        <w:t>C</w:t>
      </w:r>
      <w:r>
        <w:rPr>
          <w:sz w:val="24"/>
        </w:rPr>
        <w:t xml:space="preserve"> (согласно СНиП 23-01-99 «Строительная климатология»).</w:t>
      </w:r>
    </w:p>
    <w:p>
      <w:pPr>
        <w:pStyle w:val="Style29"/>
        <w:spacing w:before="0" w:after="0"/>
        <w:rPr>
          <w:sz w:val="24"/>
        </w:rPr>
      </w:pPr>
      <w:r>
        <w:rPr>
          <w:sz w:val="24"/>
        </w:rPr>
        <w:t>Тепловые нагрузки жилой и общественной застройки сельсовета определены по укрупнённым показателям расхода тепла, исходя из численности населения и величины общей площади зданий по срокам проектирования.</w:t>
      </w:r>
    </w:p>
    <w:p>
      <w:pPr>
        <w:pStyle w:val="Style29"/>
        <w:spacing w:before="0" w:after="0"/>
        <w:rPr>
          <w:sz w:val="24"/>
        </w:rPr>
      </w:pPr>
      <w:r>
        <w:rPr>
          <w:sz w:val="24"/>
        </w:rPr>
        <w:t>Резерв (дефицит) существующей располагаемой тепловой мощности в зонах действия источников теплоснабжения при обеспечении перспективных тепловых нагрузок с. Азей представлен в таблице 1.3.</w:t>
      </w:r>
    </w:p>
    <w:p>
      <w:pPr>
        <w:pStyle w:val="Style29"/>
        <w:spacing w:before="0" w:after="0"/>
        <w:rPr>
          <w:sz w:val="24"/>
        </w:rPr>
      </w:pPr>
      <w:r>
        <w:rPr>
          <w:sz w:val="24"/>
        </w:rPr>
      </w:r>
    </w:p>
    <w:p>
      <w:pPr>
        <w:pStyle w:val="Style29"/>
        <w:spacing w:before="0" w:after="0"/>
        <w:rPr>
          <w:sz w:val="24"/>
        </w:rPr>
      </w:pPr>
      <w:r>
        <w:rPr>
          <w:sz w:val="24"/>
        </w:rPr>
        <w:t xml:space="preserve">Таблица 1.3. – Баланс располагаемой тепловой мощности и тепловой нагрузки источников тепловой энергии в зонах действия теплоснабжения </w:t>
      </w:r>
    </w:p>
    <w:p>
      <w:pPr>
        <w:pStyle w:val="Style29"/>
        <w:spacing w:before="0" w:after="0"/>
        <w:rPr>
          <w:sz w:val="24"/>
        </w:rPr>
      </w:pPr>
      <w:r>
        <w:rPr>
          <w:sz w:val="24"/>
        </w:rPr>
      </w:r>
    </w:p>
    <w:tbl>
      <w:tblPr>
        <w:tblW w:w="9931"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984"/>
        <w:gridCol w:w="709"/>
        <w:gridCol w:w="708"/>
        <w:gridCol w:w="709"/>
        <w:gridCol w:w="900"/>
        <w:gridCol w:w="899"/>
        <w:gridCol w:w="900"/>
        <w:gridCol w:w="1"/>
        <w:gridCol w:w="959"/>
        <w:gridCol w:w="1079"/>
        <w:gridCol w:w="1082"/>
      </w:tblGrid>
      <w:tr>
        <w:trPr>
          <w:trHeight w:val="860" w:hRule="atLeast"/>
        </w:trPr>
        <w:tc>
          <w:tcPr>
            <w:tcW w:w="1984"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Источник</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Располагаемая</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мощность, Гкал/час</w:t>
            </w:r>
          </w:p>
        </w:tc>
        <w:tc>
          <w:tcPr>
            <w:tcW w:w="2700" w:type="dxa"/>
            <w:gridSpan w:val="4"/>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Тепловая нагрузка,</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Резерв (+), дефицит (-)</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располагаемой мощности</w:t>
            </w:r>
          </w:p>
        </w:tc>
      </w:tr>
      <w:tr>
        <w:trPr>
          <w:trHeight w:val="322" w:hRule="atLeast"/>
        </w:trPr>
        <w:tc>
          <w:tcPr>
            <w:tcW w:w="1984"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708"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89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c>
          <w:tcPr>
            <w:tcW w:w="960" w:type="dxa"/>
            <w:gridSpan w:val="2"/>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107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1082"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r>
      <w:tr>
        <w:trPr>
          <w:trHeight w:val="100"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8"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9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6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7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8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615" w:hRule="atLeast"/>
        </w:trPr>
        <w:tc>
          <w:tcPr>
            <w:tcW w:w="1984"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Зона</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теплоснабжения</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0,7</w:t>
            </w:r>
          </w:p>
        </w:tc>
        <w:tc>
          <w:tcPr>
            <w:tcW w:w="89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1,51</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1,36</w:t>
            </w:r>
          </w:p>
        </w:tc>
        <w:tc>
          <w:tcPr>
            <w:tcW w:w="960" w:type="dxa"/>
            <w:gridSpan w:val="2"/>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w:t>
            </w:r>
          </w:p>
        </w:tc>
        <w:tc>
          <w:tcPr>
            <w:tcW w:w="107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+0,49</w:t>
            </w:r>
          </w:p>
        </w:tc>
        <w:tc>
          <w:tcPr>
            <w:tcW w:w="1082"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+0,64</w:t>
            </w:r>
          </w:p>
        </w:tc>
      </w:tr>
      <w:tr>
        <w:trPr>
          <w:trHeight w:val="481" w:hRule="atLeast"/>
        </w:trPr>
        <w:tc>
          <w:tcPr>
            <w:tcW w:w="198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2,5</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89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2,5</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960" w:type="dxa"/>
            <w:gridSpan w:val="2"/>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c>
          <w:tcPr>
            <w:tcW w:w="107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c>
          <w:tcPr>
            <w:tcW w:w="1082"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r>
      <w:tr>
        <w:trPr>
          <w:trHeight w:val="302" w:hRule="atLeast"/>
        </w:trPr>
        <w:tc>
          <w:tcPr>
            <w:tcW w:w="1984" w:type="dxa"/>
            <w:tcBorders>
              <w:top w:val="single" w:sz="4"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Итого</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708"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4,5</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6,0</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2,7</w:t>
            </w:r>
          </w:p>
        </w:tc>
        <w:tc>
          <w:tcPr>
            <w:tcW w:w="89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4,01</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5,36</w:t>
            </w:r>
          </w:p>
        </w:tc>
        <w:tc>
          <w:tcPr>
            <w:tcW w:w="960" w:type="dxa"/>
            <w:gridSpan w:val="2"/>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w:t>
            </w:r>
          </w:p>
        </w:tc>
        <w:tc>
          <w:tcPr>
            <w:tcW w:w="107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+0,49</w:t>
            </w:r>
          </w:p>
        </w:tc>
        <w:tc>
          <w:tcPr>
            <w:tcW w:w="1082"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+0,64</w:t>
            </w:r>
          </w:p>
        </w:tc>
      </w:tr>
      <w:tr>
        <w:trPr>
          <w:trHeight w:val="87"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9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6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7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ab/>
        <w:t xml:space="preserve">Согласно расчётам, тепловые нагрузки жилищно-коммунального сектора составят на </w:t>
      </w:r>
      <w:r>
        <w:rPr>
          <w:sz w:val="24"/>
          <w:lang w:val="en-US"/>
        </w:rPr>
        <w:t>I</w:t>
      </w:r>
      <w:r>
        <w:rPr>
          <w:sz w:val="24"/>
        </w:rPr>
        <w:t xml:space="preserve"> очередь – 4,01 Гкал/час, на расчётный срок – 5,36 Гкал/час. Проектом генерального плана намечается децентрализованное теплоснабжение всей существующей и новой жилой застройки, которое будет осуществляться от индивидуальных котлов на твёрдом топливе.</w:t>
      </w:r>
    </w:p>
    <w:p>
      <w:pPr>
        <w:pStyle w:val="Style29"/>
        <w:spacing w:before="0" w:after="0"/>
        <w:rPr>
          <w:sz w:val="24"/>
        </w:rPr>
      </w:pPr>
      <w:r>
        <w:rPr>
          <w:sz w:val="24"/>
        </w:rPr>
      </w:r>
    </w:p>
    <w:p>
      <w:pPr>
        <w:pStyle w:val="Style29"/>
        <w:spacing w:before="0" w:after="0"/>
        <w:rPr>
          <w:b/>
          <w:b/>
          <w:sz w:val="24"/>
        </w:rPr>
      </w:pPr>
      <w:bookmarkStart w:id="10" w:name="page41"/>
      <w:bookmarkEnd w:id="10"/>
      <w:r>
        <w:rPr>
          <w:b/>
          <w:sz w:val="24"/>
        </w:rPr>
        <w:t>1.3 Перспективные балансы теплоносителя</w:t>
      </w:r>
    </w:p>
    <w:p>
      <w:pPr>
        <w:pStyle w:val="Style29"/>
        <w:spacing w:before="0" w:after="0"/>
        <w:rPr>
          <w:sz w:val="24"/>
        </w:rPr>
      </w:pPr>
      <w:r>
        <w:rPr>
          <w:sz w:val="24"/>
        </w:rPr>
      </w:r>
    </w:p>
    <w:p>
      <w:pPr>
        <w:pStyle w:val="Style29"/>
        <w:spacing w:before="0" w:after="0"/>
        <w:rPr>
          <w:sz w:val="24"/>
        </w:rPr>
      </w:pPr>
      <w:r>
        <w:rPr>
          <w:sz w:val="24"/>
        </w:rPr>
        <w:t>Перспективные балансы расхода теплоносителя, нормативной и аварийной величины подпитки тепловых сетей в зоне теплоснабжения котельной при развитии теплоснабжения указаны в таблице1.4.</w:t>
      </w:r>
    </w:p>
    <w:p>
      <w:pPr>
        <w:pStyle w:val="Style29"/>
        <w:spacing w:before="0" w:after="0"/>
        <w:rPr>
          <w:sz w:val="24"/>
        </w:rPr>
      </w:pPr>
      <w:r>
        <w:rPr>
          <w:sz w:val="24"/>
        </w:rPr>
      </w:r>
    </w:p>
    <w:p>
      <w:pPr>
        <w:pStyle w:val="Style29"/>
        <w:spacing w:before="0" w:after="0"/>
        <w:rPr>
          <w:sz w:val="24"/>
        </w:rPr>
      </w:pPr>
      <w:r>
        <w:rPr>
          <w:sz w:val="24"/>
        </w:rPr>
        <w:t>Таблица 1.4. – Перспективные балансы расхода теплоносителя, нормативной и аварийной величины подпитки тепловых сетей при развитии теплоснабжения</w:t>
      </w:r>
    </w:p>
    <w:p>
      <w:pPr>
        <w:pStyle w:val="Style29"/>
        <w:spacing w:before="0" w:after="0"/>
        <w:rPr>
          <w:sz w:val="24"/>
        </w:rPr>
      </w:pPr>
      <w:r>
        <w:rPr>
          <w:sz w:val="24"/>
        </w:rPr>
      </w:r>
    </w:p>
    <w:tbl>
      <w:tblPr>
        <w:tblW w:w="10095"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843"/>
        <w:gridCol w:w="1701"/>
        <w:gridCol w:w="1843"/>
        <w:gridCol w:w="1134"/>
        <w:gridCol w:w="1139"/>
        <w:gridCol w:w="1271"/>
        <w:gridCol w:w="1133"/>
        <w:gridCol w:w="29"/>
      </w:tblGrid>
      <w:tr>
        <w:trPr>
          <w:trHeight w:val="253" w:hRule="atLeast"/>
        </w:trPr>
        <w:tc>
          <w:tcPr>
            <w:tcW w:w="1843"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pPr>
            <w:r>
              <w:rPr/>
              <w:t>Зона действия</w:t>
            </w:r>
          </w:p>
          <w:p>
            <w:pPr>
              <w:pStyle w:val="Style32"/>
              <w:rPr/>
            </w:pPr>
            <w:r>
              <w:rPr/>
              <w:t>источников</w:t>
            </w:r>
          </w:p>
          <w:p>
            <w:pPr>
              <w:pStyle w:val="Style32"/>
              <w:rPr/>
            </w:pPr>
            <w:r>
              <w:rPr/>
              <w:t>теплоснабжения</w:t>
            </w:r>
          </w:p>
        </w:tc>
        <w:tc>
          <w:tcPr>
            <w:tcW w:w="4678" w:type="dxa"/>
            <w:gridSpan w:val="3"/>
            <w:vMerge w:val="restart"/>
            <w:tcBorders>
              <w:top w:val="single" w:sz="8" w:space="0" w:color="00000A"/>
              <w:right w:val="single" w:sz="8" w:space="0" w:color="00000A"/>
              <w:insideV w:val="single" w:sz="8" w:space="0" w:color="00000A"/>
            </w:tcBorders>
            <w:shd w:fill="auto" w:val="clear"/>
            <w:vAlign w:val="center"/>
          </w:tcPr>
          <w:p>
            <w:pPr>
              <w:pStyle w:val="Style32"/>
              <w:rPr/>
            </w:pPr>
            <w:r>
              <w:rPr/>
              <w:t>Показатели при перспективных тепловых</w:t>
            </w:r>
          </w:p>
          <w:p>
            <w:pPr>
              <w:pStyle w:val="Style32"/>
              <w:rPr/>
            </w:pPr>
            <w:r>
              <w:rPr/>
              <w:t>нагрузках на расчетный срок строительства</w:t>
            </w:r>
          </w:p>
        </w:tc>
        <w:tc>
          <w:tcPr>
            <w:tcW w:w="1139" w:type="dxa"/>
            <w:vMerge w:val="restart"/>
            <w:tcBorders>
              <w:top w:val="single" w:sz="8" w:space="0" w:color="00000A"/>
              <w:right w:val="single" w:sz="8" w:space="0" w:color="00000A"/>
              <w:insideV w:val="single" w:sz="8" w:space="0" w:color="00000A"/>
            </w:tcBorders>
            <w:shd w:fill="auto" w:val="clear"/>
            <w:vAlign w:val="center"/>
          </w:tcPr>
          <w:p>
            <w:pPr>
              <w:pStyle w:val="Style32"/>
              <w:rPr/>
            </w:pPr>
            <w:r>
              <w:rPr/>
              <w:t>Расход</w:t>
            </w:r>
          </w:p>
          <w:p>
            <w:pPr>
              <w:pStyle w:val="Style32"/>
              <w:rPr/>
            </w:pPr>
            <w:r>
              <w:rPr/>
              <w:t>воды для</w:t>
            </w:r>
          </w:p>
          <w:p>
            <w:pPr>
              <w:pStyle w:val="Style32"/>
              <w:rPr/>
            </w:pPr>
            <w:r>
              <w:rPr/>
              <w:t>подпитки</w:t>
            </w:r>
          </w:p>
          <w:p>
            <w:pPr>
              <w:pStyle w:val="Style32"/>
              <w:rPr/>
            </w:pPr>
            <w:r>
              <w:rPr/>
              <w:t>ТС, м</w:t>
            </w:r>
            <w:r>
              <w:rPr>
                <w:vertAlign w:val="superscript"/>
              </w:rPr>
              <w:t>3</w:t>
            </w:r>
            <w:r>
              <w:rPr/>
              <w:t>/ч</w:t>
            </w:r>
          </w:p>
        </w:tc>
        <w:tc>
          <w:tcPr>
            <w:tcW w:w="1271" w:type="dxa"/>
            <w:vMerge w:val="restart"/>
            <w:tcBorders>
              <w:top w:val="single" w:sz="8" w:space="0" w:color="00000A"/>
              <w:right w:val="single" w:sz="4" w:space="0" w:color="00000A"/>
              <w:insideV w:val="single" w:sz="4" w:space="0" w:color="00000A"/>
            </w:tcBorders>
            <w:shd w:fill="auto" w:val="clear"/>
            <w:vAlign w:val="center"/>
          </w:tcPr>
          <w:p>
            <w:pPr>
              <w:pStyle w:val="Style32"/>
              <w:rPr/>
            </w:pPr>
            <w:r>
              <w:rPr/>
              <w:t>Аварийная</w:t>
            </w:r>
          </w:p>
          <w:p>
            <w:pPr>
              <w:pStyle w:val="Style32"/>
              <w:rPr/>
            </w:pPr>
            <w:r>
              <w:rPr/>
              <w:t>величина</w:t>
            </w:r>
          </w:p>
          <w:p>
            <w:pPr>
              <w:pStyle w:val="Style32"/>
              <w:rPr/>
            </w:pPr>
            <w:r>
              <w:rPr/>
              <w:t>подпитки ТС,</w:t>
            </w:r>
          </w:p>
          <w:p>
            <w:pPr>
              <w:pStyle w:val="Style32"/>
              <w:rPr/>
            </w:pPr>
            <w:r>
              <w:rPr/>
              <w:t>м</w:t>
            </w:r>
            <w:r>
              <w:rPr>
                <w:vertAlign w:val="superscript"/>
              </w:rPr>
              <w:t>3</w:t>
            </w:r>
            <w:r>
              <w:rPr/>
              <w:t>/ч</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Годовой расход</w:t>
            </w:r>
          </w:p>
          <w:p>
            <w:pPr>
              <w:pStyle w:val="Style32"/>
              <w:rPr/>
            </w:pPr>
            <w:r>
              <w:rPr/>
              <w:t>воды для</w:t>
            </w:r>
          </w:p>
          <w:p>
            <w:pPr>
              <w:pStyle w:val="Style32"/>
              <w:rPr/>
            </w:pPr>
            <w:r>
              <w:rPr/>
              <w:t>подпитки ТС,</w:t>
            </w:r>
          </w:p>
          <w:p>
            <w:pPr>
              <w:pStyle w:val="Style32"/>
              <w:rPr/>
            </w:pPr>
            <w:r>
              <w:rPr/>
              <w:t>м</w:t>
            </w:r>
            <w:r>
              <w:rPr>
                <w:vertAlign w:val="superscript"/>
              </w:rPr>
              <w:t>3</w:t>
            </w:r>
            <w:r>
              <w:rPr/>
              <w:t>/год</w:t>
            </w:r>
          </w:p>
        </w:tc>
        <w:tc>
          <w:tcPr>
            <w:tcW w:w="29" w:type="dxa"/>
            <w:tcBorders>
              <w:left w:val="single" w:sz="4" w:space="0" w:color="00000A"/>
            </w:tcBorders>
            <w:shd w:fill="auto" w:val="clear"/>
            <w:tcMar>
              <w:left w:w="-5" w:type="dxa"/>
            </w:tcMar>
            <w:vAlign w:val="center"/>
          </w:tcPr>
          <w:p>
            <w:pPr>
              <w:pStyle w:val="Style32"/>
              <w:rPr/>
            </w:pPr>
            <w:r>
              <w:rPr/>
            </w:r>
          </w:p>
        </w:tc>
      </w:tr>
      <w:tr>
        <w:trPr>
          <w:trHeight w:val="32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4678" w:type="dxa"/>
            <w:gridSpan w:val="3"/>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10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4678" w:type="dxa"/>
            <w:gridSpan w:val="3"/>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25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restart"/>
            <w:tcBorders>
              <w:right w:val="single" w:sz="8" w:space="0" w:color="00000A"/>
              <w:insideV w:val="single" w:sz="8" w:space="0" w:color="00000A"/>
            </w:tcBorders>
            <w:shd w:fill="auto" w:val="clear"/>
            <w:vAlign w:val="center"/>
          </w:tcPr>
          <w:p>
            <w:pPr>
              <w:pStyle w:val="Style32"/>
              <w:rPr/>
            </w:pPr>
            <w:r>
              <w:rPr/>
              <w:t>Максимальная</w:t>
            </w:r>
          </w:p>
          <w:p>
            <w:pPr>
              <w:pStyle w:val="Style32"/>
              <w:rPr/>
            </w:pPr>
            <w:r>
              <w:rPr/>
              <w:t>тепловая</w:t>
            </w:r>
          </w:p>
          <w:p>
            <w:pPr>
              <w:pStyle w:val="Style32"/>
              <w:rPr/>
            </w:pPr>
            <w:r>
              <w:rPr/>
              <w:t>нагрузка</w:t>
            </w:r>
          </w:p>
          <w:p>
            <w:pPr>
              <w:pStyle w:val="Style32"/>
              <w:rPr/>
            </w:pPr>
            <w:r>
              <w:rPr/>
              <w:t>потребителей,</w:t>
            </w:r>
          </w:p>
          <w:p>
            <w:pPr>
              <w:pStyle w:val="Style32"/>
              <w:rPr/>
            </w:pPr>
            <w:r>
              <w:rPr/>
              <w:t>Гкал/час</w:t>
            </w:r>
          </w:p>
        </w:tc>
        <w:tc>
          <w:tcPr>
            <w:tcW w:w="1843" w:type="dxa"/>
            <w:vMerge w:val="restart"/>
            <w:tcBorders>
              <w:right w:val="single" w:sz="8" w:space="0" w:color="00000A"/>
              <w:insideV w:val="single" w:sz="8" w:space="0" w:color="00000A"/>
            </w:tcBorders>
            <w:shd w:fill="auto" w:val="clear"/>
            <w:vAlign w:val="center"/>
          </w:tcPr>
          <w:p>
            <w:pPr>
              <w:pStyle w:val="Style32"/>
              <w:rPr/>
            </w:pPr>
            <w:r>
              <w:rPr/>
              <w:t>Максимальный</w:t>
            </w:r>
          </w:p>
          <w:p>
            <w:pPr>
              <w:pStyle w:val="Style32"/>
              <w:rPr/>
            </w:pPr>
            <w:r>
              <w:rPr/>
              <w:t>расход</w:t>
            </w:r>
          </w:p>
          <w:p>
            <w:pPr>
              <w:pStyle w:val="Style32"/>
              <w:rPr/>
            </w:pPr>
            <w:r>
              <w:rPr/>
              <w:t>теплоносителя</w:t>
            </w:r>
          </w:p>
          <w:p>
            <w:pPr>
              <w:pStyle w:val="Style32"/>
              <w:rPr/>
            </w:pPr>
            <w:r>
              <w:rPr/>
              <w:t>потребителями</w:t>
            </w:r>
          </w:p>
          <w:p>
            <w:pPr>
              <w:pStyle w:val="Style32"/>
              <w:rPr/>
            </w:pPr>
            <w:r>
              <w:rPr/>
              <w:t>тепла, т/ч</w:t>
            </w:r>
          </w:p>
        </w:tc>
        <w:tc>
          <w:tcPr>
            <w:tcW w:w="1134" w:type="dxa"/>
            <w:vMerge w:val="restart"/>
            <w:tcBorders>
              <w:right w:val="single" w:sz="8" w:space="0" w:color="00000A"/>
              <w:insideV w:val="single" w:sz="8" w:space="0" w:color="00000A"/>
            </w:tcBorders>
            <w:shd w:fill="auto" w:val="clear"/>
            <w:vAlign w:val="center"/>
          </w:tcPr>
          <w:p>
            <w:pPr>
              <w:pStyle w:val="Style32"/>
              <w:rPr/>
            </w:pPr>
            <w:r>
              <w:rPr/>
              <w:t>Объем</w:t>
            </w:r>
          </w:p>
          <w:p>
            <w:pPr>
              <w:pStyle w:val="Style32"/>
              <w:rPr/>
            </w:pPr>
            <w:r>
              <w:rPr/>
              <w:t>теплоносителя</w:t>
            </w:r>
          </w:p>
          <w:p>
            <w:pPr>
              <w:pStyle w:val="Style32"/>
              <w:rPr/>
            </w:pPr>
            <w:r>
              <w:rPr/>
              <w:t>в ТС, м</w:t>
            </w:r>
            <w:r>
              <w:rPr>
                <w:vertAlign w:val="superscript"/>
              </w:rPr>
              <w:t>3</w:t>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33"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55"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2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46"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87" w:hRule="atLeast"/>
        </w:trPr>
        <w:tc>
          <w:tcPr>
            <w:tcW w:w="184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843"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4"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271" w:type="dxa"/>
            <w:vMerge w:val="continue"/>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251" w:hRule="atLeast"/>
        </w:trPr>
        <w:tc>
          <w:tcPr>
            <w:tcW w:w="1843" w:type="dxa"/>
            <w:vMerge w:val="restart"/>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t>Зона</w:t>
            </w:r>
          </w:p>
          <w:p>
            <w:pPr>
              <w:pStyle w:val="Style32"/>
              <w:rPr/>
            </w:pPr>
            <w:r>
              <w:rPr/>
              <w:t>теплоснабжения</w:t>
            </w:r>
          </w:p>
          <w:p>
            <w:pPr>
              <w:pStyle w:val="Style32"/>
              <w:rPr/>
            </w:pPr>
            <w:r>
              <w:rPr/>
              <w:t>котельной</w:t>
            </w:r>
          </w:p>
        </w:tc>
        <w:tc>
          <w:tcPr>
            <w:tcW w:w="1701" w:type="dxa"/>
            <w:vMerge w:val="restart"/>
            <w:tcBorders>
              <w:right w:val="single" w:sz="8" w:space="0" w:color="00000A"/>
              <w:insideV w:val="single" w:sz="8" w:space="0" w:color="00000A"/>
            </w:tcBorders>
            <w:shd w:fill="auto" w:val="clear"/>
            <w:vAlign w:val="center"/>
          </w:tcPr>
          <w:p>
            <w:pPr>
              <w:pStyle w:val="Style32"/>
              <w:rPr/>
            </w:pPr>
            <w:r>
              <w:rPr/>
              <w:t>2,5</w:t>
            </w:r>
          </w:p>
        </w:tc>
        <w:tc>
          <w:tcPr>
            <w:tcW w:w="1843" w:type="dxa"/>
            <w:vMerge w:val="restart"/>
            <w:tcBorders>
              <w:right w:val="single" w:sz="8" w:space="0" w:color="00000A"/>
              <w:insideV w:val="single" w:sz="8" w:space="0" w:color="00000A"/>
            </w:tcBorders>
            <w:shd w:color="auto" w:fill="auto" w:val="clear"/>
            <w:vAlign w:val="center"/>
          </w:tcPr>
          <w:p>
            <w:pPr>
              <w:pStyle w:val="Style32"/>
              <w:rPr/>
            </w:pPr>
            <w:r>
              <w:rPr/>
              <w:t>62</w:t>
            </w:r>
          </w:p>
        </w:tc>
        <w:tc>
          <w:tcPr>
            <w:tcW w:w="1134" w:type="dxa"/>
            <w:vMerge w:val="restart"/>
            <w:tcBorders>
              <w:right w:val="single" w:sz="8" w:space="0" w:color="00000A"/>
              <w:insideV w:val="single" w:sz="8" w:space="0" w:color="00000A"/>
            </w:tcBorders>
            <w:shd w:fill="auto" w:val="clear"/>
            <w:vAlign w:val="center"/>
          </w:tcPr>
          <w:p>
            <w:pPr>
              <w:pStyle w:val="Style32"/>
              <w:rPr/>
            </w:pPr>
            <w:r>
              <w:rPr/>
              <w:t>126,2</w:t>
            </w:r>
          </w:p>
        </w:tc>
        <w:tc>
          <w:tcPr>
            <w:tcW w:w="1139" w:type="dxa"/>
            <w:vMerge w:val="restart"/>
            <w:tcBorders>
              <w:right w:val="single" w:sz="8" w:space="0" w:color="00000A"/>
              <w:insideV w:val="single" w:sz="8" w:space="0" w:color="00000A"/>
            </w:tcBorders>
            <w:shd w:fill="auto" w:val="clear"/>
            <w:vAlign w:val="center"/>
          </w:tcPr>
          <w:p>
            <w:pPr>
              <w:pStyle w:val="Style32"/>
              <w:rPr/>
            </w:pPr>
            <w:r>
              <w:rPr/>
              <w:t>0,95</w:t>
            </w:r>
          </w:p>
        </w:tc>
        <w:tc>
          <w:tcPr>
            <w:tcW w:w="1271" w:type="dxa"/>
            <w:vMerge w:val="restart"/>
            <w:tcBorders>
              <w:right w:val="single" w:sz="4" w:space="0" w:color="00000A"/>
              <w:insideV w:val="single" w:sz="4" w:space="0" w:color="00000A"/>
            </w:tcBorders>
            <w:shd w:color="auto" w:fill="auto" w:val="clear"/>
            <w:vAlign w:val="center"/>
          </w:tcPr>
          <w:p>
            <w:pPr>
              <w:pStyle w:val="Style32"/>
              <w:rPr/>
            </w:pPr>
            <w:r>
              <w:rPr/>
              <w:t>2,5</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14820</w:t>
            </w:r>
          </w:p>
        </w:tc>
        <w:tc>
          <w:tcPr>
            <w:tcW w:w="29" w:type="dxa"/>
            <w:tcBorders>
              <w:left w:val="single" w:sz="4" w:space="0" w:color="00000A"/>
            </w:tcBorders>
            <w:shd w:fill="auto" w:val="clear"/>
            <w:tcMar>
              <w:left w:w="-5" w:type="dxa"/>
            </w:tcMar>
            <w:vAlign w:val="center"/>
          </w:tcPr>
          <w:p>
            <w:pPr>
              <w:pStyle w:val="Style32"/>
              <w:rPr/>
            </w:pPr>
            <w:r>
              <w:rPr/>
            </w:r>
          </w:p>
        </w:tc>
      </w:tr>
      <w:tr>
        <w:trPr>
          <w:trHeight w:val="32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color="auto"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46"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color="auto"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87" w:hRule="atLeast"/>
        </w:trPr>
        <w:tc>
          <w:tcPr>
            <w:tcW w:w="184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843" w:type="dxa"/>
            <w:vMerge w:val="continue"/>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32"/>
              <w:rPr/>
            </w:pPr>
            <w:r>
              <w:rPr/>
            </w:r>
          </w:p>
        </w:tc>
        <w:tc>
          <w:tcPr>
            <w:tcW w:w="1134"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271" w:type="dxa"/>
            <w:vMerge w:val="continue"/>
            <w:tcBorders>
              <w:bottom w:val="single" w:sz="8" w:space="0" w:color="00000A"/>
              <w:right w:val="single" w:sz="4" w:space="0" w:color="00000A"/>
              <w:insideH w:val="single" w:sz="8"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bl>
    <w:p>
      <w:pPr>
        <w:pStyle w:val="Style29"/>
        <w:spacing w:before="0" w:after="0"/>
        <w:rPr>
          <w:sz w:val="24"/>
        </w:rPr>
      </w:pPr>
      <w:r>
        <w:rPr>
          <w:sz w:val="24"/>
        </w:rPr>
      </w:r>
    </w:p>
    <w:p>
      <w:pPr>
        <w:pStyle w:val="Style29"/>
        <w:spacing w:before="0" w:after="0"/>
        <w:rPr>
          <w:sz w:val="24"/>
        </w:rPr>
      </w:pPr>
      <w:r>
        <w:rPr>
          <w:sz w:val="24"/>
        </w:rPr>
        <w:t>Объем подпитки определен в соответствии со СНиП 41-02-2003 п. 6.16и 6.18.</w:t>
      </w:r>
    </w:p>
    <w:p>
      <w:pPr>
        <w:pStyle w:val="Style29"/>
        <w:spacing w:before="0" w:after="0"/>
        <w:rPr>
          <w:sz w:val="24"/>
        </w:rPr>
      </w:pPr>
      <w:r>
        <w:rPr>
          <w:sz w:val="24"/>
        </w:rPr>
        <w:t>Исходя из отсутствия централизованного горячего водоснабжения и отсутствия данных об объеме воды в системе теплоснабжения, объем теплоносителя в тепловых сетях новой котельной принят из расчета 65 м3 на1 МВт тепловой мощности потребления, расход воды на подпитку 0,75% от объема воды в системе.</w:t>
      </w:r>
    </w:p>
    <w:p>
      <w:pPr>
        <w:pStyle w:val="Style29"/>
        <w:spacing w:before="0" w:after="0"/>
        <w:rPr>
          <w:sz w:val="24"/>
        </w:rPr>
      </w:pPr>
      <w:r>
        <w:rPr>
          <w:sz w:val="24"/>
        </w:rPr>
        <w:t>При реконструкции котельной рекомендуется установка ВПУ (водоподготовительная установка)  производительностью 1-3 м</w:t>
      </w:r>
      <w:r>
        <w:rPr>
          <w:sz w:val="24"/>
          <w:vertAlign w:val="superscript"/>
        </w:rPr>
        <w:t>3</w:t>
      </w:r>
      <w:r>
        <w:rPr>
          <w:sz w:val="24"/>
        </w:rPr>
        <w:t>/ч.</w:t>
      </w:r>
    </w:p>
    <w:p>
      <w:pPr>
        <w:pStyle w:val="Style29"/>
        <w:spacing w:before="0" w:after="0"/>
        <w:rPr>
          <w:b/>
          <w:b/>
          <w:sz w:val="24"/>
        </w:rPr>
      </w:pPr>
      <w:bookmarkStart w:id="11" w:name="page45"/>
      <w:bookmarkStart w:id="12" w:name="page43"/>
      <w:bookmarkStart w:id="13" w:name="page45"/>
      <w:bookmarkStart w:id="14" w:name="page43"/>
      <w:bookmarkEnd w:id="13"/>
      <w:bookmarkEnd w:id="14"/>
      <w:r>
        <w:rPr>
          <w:b/>
          <w:sz w:val="24"/>
        </w:rPr>
      </w:r>
    </w:p>
    <w:p>
      <w:pPr>
        <w:pStyle w:val="Style29"/>
        <w:spacing w:before="0" w:after="0"/>
        <w:rPr>
          <w:b/>
          <w:b/>
          <w:sz w:val="24"/>
        </w:rPr>
      </w:pPr>
      <w:r>
        <w:rPr>
          <w:b/>
          <w:sz w:val="24"/>
        </w:rPr>
        <w:t>1.4. Предложения по новому строительству, реконструкции и техническому перевооружению источников тепловой энергии</w:t>
      </w:r>
    </w:p>
    <w:p>
      <w:pPr>
        <w:pStyle w:val="Style29"/>
        <w:spacing w:before="0" w:after="0"/>
        <w:rPr>
          <w:b/>
          <w:b/>
          <w:sz w:val="24"/>
        </w:rPr>
      </w:pPr>
      <w:r>
        <w:rPr>
          <w:b/>
          <w:sz w:val="24"/>
        </w:rPr>
      </w:r>
    </w:p>
    <w:p>
      <w:pPr>
        <w:pStyle w:val="Style29"/>
        <w:spacing w:before="0" w:after="0"/>
        <w:rPr>
          <w:b/>
          <w:b/>
          <w:sz w:val="24"/>
        </w:rPr>
      </w:pPr>
      <w:r>
        <w:rPr>
          <w:b/>
          <w:sz w:val="24"/>
        </w:rPr>
        <w:t>1.4.1. Определение условий организации централизованного и индивидуального теплоснабжения</w:t>
      </w:r>
    </w:p>
    <w:p>
      <w:pPr>
        <w:pStyle w:val="Style29"/>
        <w:spacing w:before="0" w:after="0"/>
        <w:rPr>
          <w:b/>
          <w:b/>
          <w:sz w:val="24"/>
        </w:rPr>
      </w:pPr>
      <w:r>
        <w:rPr>
          <w:b/>
          <w:sz w:val="24"/>
        </w:rPr>
      </w:r>
    </w:p>
    <w:p>
      <w:pPr>
        <w:pStyle w:val="Style29"/>
        <w:spacing w:before="0" w:after="0"/>
        <w:rPr>
          <w:sz w:val="24"/>
        </w:rPr>
      </w:pPr>
      <w:r>
        <w:rPr>
          <w:sz w:val="24"/>
        </w:rPr>
        <w:t xml:space="preserve">Условиями для подключения перспективных потребителей тепловой энергии к существующим тепловым сетям котельной: расположение перспективных потребителей тепловой энергии вблизи котельной; наличие на источнике тепловой энергии необходимой тепловой мощности для покрытия тепловой нагрузки потребителей тепловой энергии. </w:t>
      </w:r>
    </w:p>
    <w:p>
      <w:pPr>
        <w:pStyle w:val="Style29"/>
        <w:spacing w:before="0" w:after="0"/>
        <w:rPr>
          <w:sz w:val="24"/>
        </w:rPr>
      </w:pPr>
      <w:r>
        <w:rPr>
          <w:sz w:val="24"/>
        </w:rPr>
        <w:t>Главным условием при строительстве новых источников тепловой энергии является расположение котельной в центре перспективных тепловых нагрузок.</w:t>
      </w:r>
    </w:p>
    <w:p>
      <w:pPr>
        <w:pStyle w:val="Style29"/>
        <w:spacing w:before="0" w:after="0"/>
        <w:rPr>
          <w:sz w:val="24"/>
        </w:rPr>
      </w:pPr>
      <w:r>
        <w:rPr>
          <w:sz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pPr>
        <w:pStyle w:val="Style29"/>
        <w:spacing w:before="0" w:after="0"/>
        <w:rPr>
          <w:b/>
          <w:b/>
          <w:sz w:val="24"/>
        </w:rPr>
      </w:pPr>
      <w:r>
        <w:rPr>
          <w:b/>
          <w:sz w:val="24"/>
        </w:rPr>
      </w:r>
    </w:p>
    <w:p>
      <w:pPr>
        <w:pStyle w:val="Style29"/>
        <w:spacing w:before="0" w:after="0"/>
        <w:rPr>
          <w:b/>
          <w:b/>
          <w:sz w:val="24"/>
        </w:rPr>
      </w:pPr>
      <w:r>
        <w:rPr>
          <w:b/>
          <w:sz w:val="24"/>
        </w:rPr>
        <w:t>1.4.2. Варианты развития системы теплоснабжения с. Азей</w:t>
      </w:r>
    </w:p>
    <w:p>
      <w:pPr>
        <w:pStyle w:val="Style29"/>
        <w:spacing w:before="0" w:after="0"/>
        <w:rPr>
          <w:b/>
          <w:b/>
          <w:sz w:val="24"/>
        </w:rPr>
      </w:pPr>
      <w:r>
        <w:rPr>
          <w:b/>
          <w:sz w:val="24"/>
        </w:rPr>
      </w:r>
    </w:p>
    <w:p>
      <w:pPr>
        <w:pStyle w:val="Style29"/>
        <w:spacing w:before="0" w:after="0"/>
        <w:rPr>
          <w:sz w:val="24"/>
        </w:rPr>
      </w:pPr>
      <w:r>
        <w:rPr>
          <w:sz w:val="24"/>
        </w:rPr>
        <w:t>В схеме теплоснабжения с. Азей, рассматривается два варианта развития.</w:t>
      </w:r>
    </w:p>
    <w:p>
      <w:pPr>
        <w:pStyle w:val="Style29"/>
        <w:spacing w:before="0" w:after="0"/>
        <w:rPr>
          <w:sz w:val="24"/>
        </w:rPr>
      </w:pPr>
      <w:r>
        <w:rPr>
          <w:sz w:val="24"/>
        </w:rPr>
        <w:t>Во всех вариантах развития теплоснабжения с. Азей планируется:</w:t>
      </w:r>
    </w:p>
    <w:p>
      <w:pPr>
        <w:pStyle w:val="Style29"/>
        <w:spacing w:before="0" w:after="0"/>
        <w:rPr>
          <w:sz w:val="24"/>
        </w:rPr>
      </w:pPr>
      <w:r>
        <w:rPr>
          <w:sz w:val="24"/>
        </w:rPr>
        <w:t>-</w:t>
        <w:tab/>
        <w:t xml:space="preserve">сохранение существующей зоны действия индивидуального теплоснабжения; </w:t>
      </w:r>
    </w:p>
    <w:p>
      <w:pPr>
        <w:pStyle w:val="Style29"/>
        <w:spacing w:before="0" w:after="0"/>
        <w:rPr>
          <w:sz w:val="24"/>
        </w:rPr>
      </w:pPr>
      <w:r>
        <w:rPr>
          <w:sz w:val="24"/>
        </w:rPr>
        <w:t>-</w:t>
        <w:tab/>
        <w:t>планируемые к строительству индивидуальные жилые дома обеспечить теплом от индивидуальных теплогенераторов, суммарной</w:t>
      </w:r>
      <w:bookmarkStart w:id="15" w:name="page47"/>
      <w:bookmarkEnd w:id="15"/>
      <w:r>
        <w:rPr>
          <w:sz w:val="24"/>
        </w:rPr>
        <w:t xml:space="preserve"> тепловой мощностью на 2025 год – 2,5 Гкал/час, 2032 год – 4,0 Гкал/час;</w:t>
      </w:r>
    </w:p>
    <w:p>
      <w:pPr>
        <w:pStyle w:val="Style29"/>
        <w:spacing w:before="0" w:after="0"/>
        <w:ind w:firstLine="426"/>
        <w:rPr>
          <w:sz w:val="24"/>
        </w:rPr>
      </w:pPr>
      <w:r>
        <w:rPr>
          <w:sz w:val="24"/>
        </w:rPr>
        <w:t>-теплоснабжение планируемого к строительству спортивного зала; 0,11 Гкал/ч;</w:t>
      </w:r>
    </w:p>
    <w:p>
      <w:pPr>
        <w:pStyle w:val="Style29"/>
        <w:spacing w:before="0" w:after="0"/>
        <w:ind w:firstLine="426"/>
        <w:rPr>
          <w:sz w:val="24"/>
        </w:rPr>
      </w:pPr>
      <w:r>
        <w:rPr>
          <w:sz w:val="24"/>
        </w:rPr>
        <w:t>- 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pPr>
        <w:pStyle w:val="Style29"/>
        <w:spacing w:before="0" w:after="0"/>
        <w:rPr>
          <w:sz w:val="24"/>
        </w:rPr>
      </w:pPr>
      <w:r>
        <w:rPr>
          <w:sz w:val="24"/>
        </w:rPr>
      </w:r>
    </w:p>
    <w:p>
      <w:pPr>
        <w:pStyle w:val="Style29"/>
        <w:spacing w:before="0" w:after="0"/>
        <w:rPr>
          <w:b/>
          <w:b/>
          <w:sz w:val="24"/>
        </w:rPr>
      </w:pPr>
      <w:r>
        <w:rPr>
          <w:b/>
          <w:sz w:val="24"/>
        </w:rPr>
        <w:t>1.4.3. Первый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pPr>
        <w:pStyle w:val="Style29"/>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pPr>
        <w:pStyle w:val="Style29"/>
        <w:spacing w:before="0" w:after="0"/>
        <w:rPr>
          <w:sz w:val="24"/>
        </w:rPr>
      </w:pPr>
      <w:bookmarkStart w:id="16" w:name="page49"/>
      <w:bookmarkEnd w:id="16"/>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1.5.</w:t>
      </w:r>
    </w:p>
    <w:p>
      <w:pPr>
        <w:pStyle w:val="Style29"/>
        <w:spacing w:before="0" w:after="0"/>
        <w:rPr>
          <w:sz w:val="24"/>
        </w:rPr>
      </w:pPr>
      <w:r>
        <w:rPr>
          <w:sz w:val="24"/>
        </w:rPr>
      </w:r>
    </w:p>
    <w:p>
      <w:pPr>
        <w:pStyle w:val="Style29"/>
        <w:spacing w:before="0" w:after="0"/>
        <w:rPr>
          <w:sz w:val="24"/>
        </w:rPr>
      </w:pPr>
      <w:r>
        <w:rPr>
          <w:sz w:val="24"/>
        </w:rPr>
        <w:t>Таблица 1.5. – Потребители тепловой энергии планируемые построить в первую очередь строительства и подключить к тепловым сетям котельной.</w:t>
      </w:r>
    </w:p>
    <w:p>
      <w:pPr>
        <w:pStyle w:val="Style29"/>
        <w:spacing w:before="0" w:after="0"/>
        <w:rPr>
          <w:sz w:val="24"/>
        </w:rPr>
      </w:pPr>
      <w:r>
        <w:rPr>
          <w:sz w:val="24"/>
        </w:rPr>
      </w:r>
    </w:p>
    <w:tbl>
      <w:tblPr>
        <w:tblW w:w="98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6620"/>
        <w:gridCol w:w="3239"/>
      </w:tblGrid>
      <w:tr>
        <w:trPr>
          <w:trHeight w:val="672" w:hRule="atLeast"/>
        </w:trPr>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rPr>
                <w:b/>
                <w:b/>
                <w:sz w:val="24"/>
              </w:rPr>
            </w:pPr>
            <w:r>
              <w:rPr>
                <w:b/>
                <w:sz w:val="24"/>
              </w:rPr>
              <w:t>Перспективные потребители тепла</w:t>
            </w:r>
          </w:p>
        </w:tc>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Style29"/>
              <w:spacing w:before="0" w:after="0"/>
              <w:ind w:firstLine="38"/>
              <w:rPr>
                <w:b/>
                <w:b/>
                <w:sz w:val="24"/>
              </w:rPr>
            </w:pPr>
            <w:r>
              <w:rPr>
                <w:b/>
                <w:sz w:val="24"/>
              </w:rPr>
              <w:t>Тепловая нагрузка, Гкал/час</w:t>
            </w:r>
          </w:p>
        </w:tc>
      </w:tr>
      <w:tr>
        <w:trPr>
          <w:trHeight w:val="268" w:hRule="atLeast"/>
        </w:trPr>
        <w:tc>
          <w:tcPr>
            <w:tcW w:w="662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Спортивный зал</w:t>
            </w:r>
          </w:p>
        </w:tc>
        <w:tc>
          <w:tcPr>
            <w:tcW w:w="3239" w:type="dxa"/>
            <w:tcBorders>
              <w:top w:val="single" w:sz="4"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Style29"/>
              <w:spacing w:before="0" w:after="0"/>
              <w:rPr>
                <w:sz w:val="24"/>
              </w:rPr>
            </w:pPr>
            <w:r>
              <w:rPr>
                <w:sz w:val="24"/>
              </w:rPr>
              <w:t>0,11</w:t>
            </w:r>
          </w:p>
        </w:tc>
      </w:tr>
      <w:tr>
        <w:trPr>
          <w:trHeight w:val="268" w:hRule="atLeast"/>
        </w:trPr>
        <w:tc>
          <w:tcPr>
            <w:tcW w:w="6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Подключение существующих частных домов к тепловым сетям</w:t>
            </w:r>
          </w:p>
        </w:tc>
        <w:tc>
          <w:tcPr>
            <w:tcW w:w="323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rPr>
                <w:sz w:val="24"/>
              </w:rPr>
            </w:pPr>
            <w:r>
              <w:rPr>
                <w:sz w:val="24"/>
              </w:rPr>
              <w:t>2,99</w:t>
            </w:r>
          </w:p>
        </w:tc>
      </w:tr>
      <w:tr>
        <w:trPr>
          <w:trHeight w:val="268" w:hRule="atLeast"/>
        </w:trPr>
        <w:tc>
          <w:tcPr>
            <w:tcW w:w="6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Итого</w:t>
            </w:r>
          </w:p>
        </w:tc>
        <w:tc>
          <w:tcPr>
            <w:tcW w:w="3239"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Style29"/>
              <w:spacing w:before="0" w:after="0"/>
              <w:rPr>
                <w:sz w:val="24"/>
              </w:rPr>
            </w:pPr>
            <w:r>
              <w:rPr>
                <w:sz w:val="24"/>
              </w:rPr>
              <w:t>3,10</w:t>
            </w:r>
          </w:p>
        </w:tc>
      </w:tr>
    </w:tbl>
    <w:p>
      <w:pPr>
        <w:pStyle w:val="Style29"/>
        <w:spacing w:before="0" w:after="0"/>
        <w:rPr>
          <w:sz w:val="24"/>
        </w:rPr>
      </w:pPr>
      <w:r>
        <w:rPr>
          <w:sz w:val="24"/>
        </w:rPr>
      </w:r>
    </w:p>
    <w:p>
      <w:pPr>
        <w:pStyle w:val="Style29"/>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pPr>
        <w:pStyle w:val="Style29"/>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1.6.</w:t>
      </w:r>
    </w:p>
    <w:p>
      <w:pPr>
        <w:pStyle w:val="Style29"/>
        <w:spacing w:before="0" w:after="0"/>
        <w:rPr>
          <w:sz w:val="24"/>
        </w:rPr>
      </w:pPr>
      <w:r>
        <w:rPr>
          <w:sz w:val="24"/>
        </w:rPr>
      </w:r>
    </w:p>
    <w:p>
      <w:pPr>
        <w:pStyle w:val="Style29"/>
        <w:spacing w:before="0" w:after="0"/>
        <w:rPr>
          <w:sz w:val="24"/>
        </w:rPr>
      </w:pPr>
      <w:r>
        <w:rPr>
          <w:sz w:val="24"/>
        </w:rPr>
        <w:t>Таблица 1.6. – Потребители тепловой энергии планируемые построить во время расчетного срока строительства и подключить к тепловым сетям.</w:t>
      </w:r>
    </w:p>
    <w:p>
      <w:pPr>
        <w:pStyle w:val="Style29"/>
        <w:spacing w:before="0" w:after="0"/>
        <w:rPr>
          <w:sz w:val="24"/>
        </w:rPr>
      </w:pPr>
      <w:r>
        <w:rPr>
          <w:sz w:val="24"/>
        </w:rPr>
      </w:r>
    </w:p>
    <w:tbl>
      <w:tblPr>
        <w:tblW w:w="9860"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4819"/>
        <w:gridCol w:w="5040"/>
      </w:tblGrid>
      <w:tr>
        <w:trPr>
          <w:trHeight w:val="493" w:hRule="atLeast"/>
        </w:trPr>
        <w:tc>
          <w:tcPr>
            <w:tcW w:w="4819" w:type="dxa"/>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b/>
                <w:b/>
                <w:sz w:val="24"/>
              </w:rPr>
            </w:pPr>
            <w:r>
              <w:rPr>
                <w:b/>
                <w:sz w:val="24"/>
              </w:rPr>
              <w:t>Перспективные потребители тепла</w:t>
            </w:r>
          </w:p>
        </w:tc>
        <w:tc>
          <w:tcPr>
            <w:tcW w:w="5040" w:type="dxa"/>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Тепловая нагрузка, Гкал/час</w:t>
            </w:r>
          </w:p>
        </w:tc>
      </w:tr>
      <w:tr>
        <w:trPr>
          <w:trHeight w:val="529" w:hRule="atLeast"/>
        </w:trPr>
        <w:tc>
          <w:tcPr>
            <w:tcW w:w="4819"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hanging="0"/>
              <w:jc w:val="center"/>
              <w:rPr>
                <w:sz w:val="24"/>
              </w:rPr>
            </w:pPr>
            <w:r>
              <w:rPr>
                <w:sz w:val="24"/>
              </w:rPr>
              <w:t>1</w:t>
            </w:r>
          </w:p>
        </w:tc>
      </w:tr>
      <w:tr>
        <w:trPr>
          <w:trHeight w:val="699" w:hRule="atLeast"/>
        </w:trPr>
        <w:tc>
          <w:tcPr>
            <w:tcW w:w="48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hanging="0"/>
              <w:jc w:val="center"/>
              <w:rPr>
                <w:sz w:val="24"/>
              </w:rPr>
            </w:pPr>
            <w:r>
              <w:rPr>
                <w:sz w:val="24"/>
              </w:rPr>
              <w:t>0,35</w:t>
            </w:r>
          </w:p>
        </w:tc>
      </w:tr>
      <w:tr>
        <w:trPr>
          <w:trHeight w:val="268" w:hRule="atLeast"/>
        </w:trPr>
        <w:tc>
          <w:tcPr>
            <w:tcW w:w="481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Итого</w:t>
            </w:r>
          </w:p>
        </w:tc>
        <w:tc>
          <w:tcPr>
            <w:tcW w:w="5040"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1,35</w:t>
            </w:r>
          </w:p>
        </w:tc>
      </w:tr>
    </w:tbl>
    <w:p>
      <w:pPr>
        <w:pStyle w:val="Style29"/>
        <w:spacing w:before="0" w:after="0"/>
        <w:rPr>
          <w:sz w:val="24"/>
        </w:rPr>
      </w:pPr>
      <w:bookmarkStart w:id="17" w:name="page51"/>
      <w:bookmarkStart w:id="18" w:name="page51"/>
      <w:bookmarkEnd w:id="18"/>
      <w:r>
        <w:rPr>
          <w:sz w:val="24"/>
        </w:rPr>
      </w:r>
    </w:p>
    <w:p>
      <w:pPr>
        <w:pStyle w:val="Style29"/>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pPr>
        <w:pStyle w:val="Style29"/>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pPr>
        <w:pStyle w:val="Style29"/>
        <w:spacing w:before="0" w:after="0"/>
        <w:rPr>
          <w:szCs w:val="28"/>
        </w:rPr>
      </w:pPr>
      <w:r>
        <w:rPr>
          <w:sz w:val="24"/>
        </w:rPr>
        <w:t>Расположение существующих и перспективных потребителей тепловой энергии планируемых подключить к котельной при первом варианте развития централизованного теплоснабжения с. Азей отображено на рисунке 4.1</w:t>
      </w:r>
      <w:r>
        <w:rPr/>
        <w:t>.</w:t>
      </w:r>
      <w:r>
        <w:rPr/>
        <w:drawing>
          <wp:inline distT="0" distB="0" distL="19050" distR="2540">
            <wp:extent cx="5407660" cy="4242435"/>
            <wp:effectExtent l="0" t="0" r="0" b="0"/>
            <wp:docPr id="2"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descr=""/>
                    <pic:cNvPicPr>
                      <a:picLocks noChangeAspect="1" noChangeArrowheads="1"/>
                    </pic:cNvPicPr>
                  </pic:nvPicPr>
                  <pic:blipFill>
                    <a:blip r:embed="rId5"/>
                    <a:stretch>
                      <a:fillRect/>
                    </a:stretch>
                  </pic:blipFill>
                  <pic:spPr bwMode="auto">
                    <a:xfrm>
                      <a:off x="0" y="0"/>
                      <a:ext cx="5407660" cy="424243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Рисунок 4.1. -  Зона теплоснабжения котельной при первом варианте развития централизованной системы.</w:t>
      </w:r>
    </w:p>
    <w:p>
      <w:pPr>
        <w:pStyle w:val="Style29"/>
        <w:spacing w:before="0" w:after="0"/>
        <w:rPr>
          <w:b/>
          <w:b/>
          <w:sz w:val="24"/>
        </w:rPr>
      </w:pPr>
      <w:bookmarkStart w:id="19" w:name="page55"/>
      <w:bookmarkStart w:id="20" w:name="page55"/>
      <w:bookmarkEnd w:id="20"/>
      <w:r>
        <w:rPr>
          <w:b/>
          <w:sz w:val="24"/>
        </w:rPr>
      </w:r>
    </w:p>
    <w:p>
      <w:pPr>
        <w:pStyle w:val="Style29"/>
        <w:spacing w:before="0" w:after="0"/>
        <w:rPr>
          <w:b/>
          <w:b/>
          <w:sz w:val="24"/>
        </w:rPr>
      </w:pPr>
      <w:r>
        <w:rPr>
          <w:b/>
          <w:sz w:val="24"/>
        </w:rPr>
        <w:t>1.4.4. Второй вариант развития теплоснабжения с.Азей</w:t>
      </w:r>
    </w:p>
    <w:p>
      <w:pPr>
        <w:pStyle w:val="Style29"/>
        <w:spacing w:before="0" w:after="0"/>
        <w:rPr>
          <w:sz w:val="24"/>
        </w:rPr>
      </w:pPr>
      <w:r>
        <w:rPr>
          <w:sz w:val="24"/>
        </w:rPr>
      </w:r>
    </w:p>
    <w:p>
      <w:pPr>
        <w:pStyle w:val="Style29"/>
        <w:spacing w:before="0" w:after="0"/>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pPr>
        <w:pStyle w:val="Style29"/>
        <w:spacing w:before="0" w:after="0"/>
        <w:rPr>
          <w:sz w:val="24"/>
        </w:rPr>
      </w:pPr>
      <w:r>
        <w:rPr>
          <w:sz w:val="24"/>
        </w:rPr>
        <w:t>На первом этапе планируется:</w:t>
      </w:r>
    </w:p>
    <w:p>
      <w:pPr>
        <w:pStyle w:val="Style29"/>
        <w:spacing w:before="0" w:after="0"/>
        <w:rPr>
          <w:sz w:val="24"/>
        </w:rPr>
      </w:pPr>
      <w:r>
        <w:rPr>
          <w:sz w:val="24"/>
        </w:rPr>
        <w:t>-</w:t>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pPr>
        <w:pStyle w:val="Style29"/>
        <w:spacing w:before="0" w:after="0"/>
        <w:rPr>
          <w:sz w:val="24"/>
        </w:rPr>
      </w:pPr>
      <w:r>
        <w:rPr>
          <w:sz w:val="24"/>
        </w:rPr>
        <w:t>-</w:t>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pPr>
        <w:pStyle w:val="Style29"/>
        <w:spacing w:before="0" w:after="0"/>
        <w:rPr>
          <w:sz w:val="24"/>
        </w:rPr>
      </w:pPr>
      <w:r>
        <w:rPr>
          <w:sz w:val="24"/>
        </w:rPr>
        <w:t>-</w:t>
        <w:tab/>
        <w:t>сохранение индивидуальных источников теплоснабжения потребителей, не подключенных к центральной сети,</w:t>
      </w:r>
    </w:p>
    <w:p>
      <w:pPr>
        <w:pStyle w:val="Style29"/>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pPr>
        <w:pStyle w:val="Style29"/>
        <w:spacing w:before="0" w:after="0"/>
        <w:rPr>
          <w:sz w:val="24"/>
        </w:rPr>
      </w:pPr>
      <w:bookmarkStart w:id="21" w:name="page59"/>
      <w:bookmarkEnd w:id="21"/>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Dy=125÷150 мм, от действующей котельной  до перспективных площадок планируемых к освоению с 2020 года.</w:t>
      </w:r>
    </w:p>
    <w:p>
      <w:pPr>
        <w:pStyle w:val="Style29"/>
        <w:spacing w:before="0" w:after="0"/>
        <w:rPr>
          <w:sz w:val="24"/>
        </w:rPr>
      </w:pPr>
      <w:r>
        <w:rPr>
          <w:sz w:val="24"/>
        </w:rPr>
        <w:t>Зоны действия котельных с. Азей при втором варианте развития теплоснабжения отображены на рисунке 4.2.</w:t>
      </w:r>
    </w:p>
    <w:p>
      <w:pPr>
        <w:pStyle w:val="Style29"/>
        <w:spacing w:before="0" w:after="0"/>
        <w:rPr/>
      </w:pPr>
      <w:r>
        <w:rPr/>
        <w:drawing>
          <wp:inline distT="0" distB="6350" distL="0" distR="0">
            <wp:extent cx="5628640" cy="4603750"/>
            <wp:effectExtent l="0" t="0" r="0" b="0"/>
            <wp:docPr id="3"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pic:cNvPicPr>
                      <a:picLocks noChangeAspect="1" noChangeArrowheads="1"/>
                    </pic:cNvPicPr>
                  </pic:nvPicPr>
                  <pic:blipFill>
                    <a:blip r:embed="rId6"/>
                    <a:stretch>
                      <a:fillRect/>
                    </a:stretch>
                  </pic:blipFill>
                  <pic:spPr bwMode="auto">
                    <a:xfrm>
                      <a:off x="0" y="0"/>
                      <a:ext cx="5628640" cy="4603750"/>
                    </a:xfrm>
                    <a:prstGeom prst="rect">
                      <a:avLst/>
                    </a:prstGeom>
                  </pic:spPr>
                </pic:pic>
              </a:graphicData>
            </a:graphic>
          </wp:inline>
        </w:drawing>
      </w:r>
    </w:p>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Рисунок 4.2. – Зоны действия источников тепловой энергии с. Азей при втором варианте развития</w:t>
      </w:r>
    </w:p>
    <w:p>
      <w:pPr>
        <w:pStyle w:val="Normal"/>
        <w:spacing w:lineRule="auto" w:line="240" w:before="0" w:after="0"/>
        <w:rPr>
          <w:sz w:val="24"/>
          <w:szCs w:val="24"/>
        </w:rPr>
      </w:pPr>
      <w:bookmarkStart w:id="22" w:name="page63"/>
      <w:bookmarkStart w:id="23" w:name="page63"/>
      <w:bookmarkEnd w:id="23"/>
      <w:r>
        <w:rPr>
          <w:sz w:val="24"/>
          <w:szCs w:val="24"/>
        </w:rPr>
      </w:r>
    </w:p>
    <w:p>
      <w:pPr>
        <w:pStyle w:val="Style29"/>
        <w:spacing w:before="0" w:after="0"/>
        <w:rPr>
          <w:b/>
          <w:b/>
          <w:sz w:val="24"/>
        </w:rPr>
      </w:pPr>
      <w:r>
        <w:rPr>
          <w:b/>
          <w:sz w:val="24"/>
        </w:rPr>
        <w:t>1.4.5. Предложения по строительству источников тепловой энергии в д. Нюра</w:t>
      </w:r>
    </w:p>
    <w:p>
      <w:pPr>
        <w:pStyle w:val="Style29"/>
        <w:spacing w:before="0" w:after="0"/>
        <w:rPr>
          <w:b/>
          <w:b/>
          <w:sz w:val="24"/>
        </w:rPr>
      </w:pPr>
      <w:r>
        <w:rPr>
          <w:b/>
          <w:sz w:val="24"/>
        </w:rPr>
      </w:r>
    </w:p>
    <w:p>
      <w:pPr>
        <w:pStyle w:val="Style29"/>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pPr>
        <w:pStyle w:val="Style29"/>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выбираем именно этот вариант.</w:t>
      </w:r>
    </w:p>
    <w:p>
      <w:pPr>
        <w:pStyle w:val="Style29"/>
        <w:spacing w:before="0" w:after="0"/>
        <w:rPr>
          <w:sz w:val="24"/>
        </w:rPr>
      </w:pPr>
      <w:r>
        <w:rPr>
          <w:sz w:val="24"/>
        </w:rPr>
      </w:r>
    </w:p>
    <w:p>
      <w:pPr>
        <w:pStyle w:val="Style29"/>
        <w:spacing w:before="0" w:after="0"/>
        <w:rPr>
          <w:b/>
          <w:b/>
          <w:sz w:val="24"/>
        </w:rPr>
      </w:pPr>
      <w:bookmarkStart w:id="24" w:name="page65"/>
      <w:bookmarkEnd w:id="24"/>
      <w:r>
        <w:rPr>
          <w:b/>
          <w:sz w:val="24"/>
        </w:rPr>
        <w:t>1.5. Предложения по строительству и реконструкции тепловых сетей и сооружений на них</w:t>
      </w:r>
    </w:p>
    <w:p>
      <w:pPr>
        <w:pStyle w:val="Style29"/>
        <w:spacing w:before="0" w:after="0"/>
        <w:rPr>
          <w:b/>
          <w:b/>
          <w:sz w:val="24"/>
        </w:rPr>
      </w:pPr>
      <w:r>
        <w:rPr>
          <w:b/>
          <w:sz w:val="24"/>
        </w:rPr>
      </w:r>
    </w:p>
    <w:p>
      <w:pPr>
        <w:pStyle w:val="Style29"/>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pPr>
        <w:pStyle w:val="Style29"/>
        <w:spacing w:before="0" w:after="0"/>
        <w:rPr>
          <w:sz w:val="24"/>
        </w:rPr>
      </w:pPr>
      <w:r>
        <w:rPr>
          <w:sz w:val="24"/>
        </w:rPr>
      </w:r>
    </w:p>
    <w:p>
      <w:pPr>
        <w:pStyle w:val="Style29"/>
        <w:spacing w:before="0" w:after="0"/>
        <w:ind w:firstLine="284"/>
        <w:rPr>
          <w:b/>
          <w:b/>
          <w:sz w:val="24"/>
        </w:rPr>
      </w:pPr>
      <w:r>
        <w:rPr>
          <w:b/>
          <w:sz w:val="24"/>
        </w:rPr>
        <w:t>1.5.1. Предложение по строительству и реконструкции тепловых сетей с. Азей</w:t>
      </w:r>
    </w:p>
    <w:p>
      <w:pPr>
        <w:pStyle w:val="Style29"/>
        <w:spacing w:before="0" w:after="0"/>
        <w:ind w:firstLine="284"/>
        <w:rPr>
          <w:b/>
          <w:b/>
          <w:sz w:val="24"/>
        </w:rPr>
      </w:pPr>
      <w:r>
        <w:rPr>
          <w:b/>
          <w:sz w:val="24"/>
        </w:rPr>
      </w:r>
    </w:p>
    <w:p>
      <w:pPr>
        <w:pStyle w:val="Style29"/>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pPr>
        <w:pStyle w:val="Style29"/>
        <w:spacing w:before="0" w:after="0"/>
        <w:rPr>
          <w:sz w:val="24"/>
        </w:rPr>
      </w:pPr>
      <w:bookmarkStart w:id="25" w:name="page67"/>
      <w:bookmarkEnd w:id="25"/>
      <w:r>
        <w:rPr>
          <w:sz w:val="24"/>
        </w:rPr>
        <w:t>Предложения по строительству тепловых сетей с. Азей приведены в таблице 1.7.</w:t>
      </w:r>
    </w:p>
    <w:p>
      <w:pPr>
        <w:pStyle w:val="Style29"/>
        <w:spacing w:before="0" w:after="0"/>
        <w:rPr>
          <w:sz w:val="24"/>
        </w:rPr>
      </w:pPr>
      <w:r>
        <w:rPr>
          <w:sz w:val="24"/>
        </w:rPr>
      </w:r>
    </w:p>
    <w:p>
      <w:pPr>
        <w:pStyle w:val="Style29"/>
        <w:spacing w:before="0" w:after="0"/>
        <w:rPr>
          <w:sz w:val="24"/>
        </w:rPr>
      </w:pPr>
      <w:r>
        <w:rPr>
          <w:sz w:val="24"/>
        </w:rPr>
        <w:t>Таблица 1.7. –  Предложения по строительству тепловых сетей вс. Азей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387"/>
        <w:gridCol w:w="7"/>
        <w:gridCol w:w="1842"/>
        <w:gridCol w:w="1277"/>
        <w:gridCol w:w="1845"/>
        <w:gridCol w:w="1560"/>
      </w:tblGrid>
      <w:tr>
        <w:trPr>
          <w:trHeight w:val="685" w:hRule="atLeast"/>
        </w:trPr>
        <w:tc>
          <w:tcPr>
            <w:tcW w:w="33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Цели строительства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магистрали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Тип</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прокладки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Диаметр</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участка, Dy, мм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Длина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участка, м</w:t>
            </w:r>
          </w:p>
        </w:tc>
      </w:tr>
      <w:tr>
        <w:trPr>
          <w:trHeight w:val="330"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Первая очередь строительства</w:t>
            </w:r>
          </w:p>
        </w:tc>
      </w:tr>
      <w:tr>
        <w:trPr>
          <w:trHeight w:val="573"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 – СЗ</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280</w:t>
            </w:r>
          </w:p>
        </w:tc>
      </w:tr>
      <w:tr>
        <w:trPr>
          <w:trHeight w:val="337"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Расчетный срок строительства</w:t>
            </w:r>
          </w:p>
        </w:tc>
      </w:tr>
      <w:tr>
        <w:trPr>
          <w:trHeight w:val="834"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1250</w:t>
            </w:r>
          </w:p>
        </w:tc>
      </w:tr>
      <w:tr>
        <w:trPr>
          <w:trHeight w:val="641"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Обеспечения тепловой энергией 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ТК-ПП</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500</w:t>
            </w:r>
          </w:p>
        </w:tc>
      </w:tr>
    </w:tbl>
    <w:p>
      <w:pPr>
        <w:pStyle w:val="Style29"/>
        <w:spacing w:before="0" w:after="0"/>
        <w:rPr>
          <w:b/>
          <w:b/>
          <w:sz w:val="24"/>
        </w:rPr>
      </w:pPr>
      <w:bookmarkStart w:id="26" w:name="page75"/>
      <w:bookmarkStart w:id="27" w:name="page75"/>
      <w:bookmarkEnd w:id="27"/>
      <w:r>
        <w:rPr>
          <w:b/>
          <w:sz w:val="24"/>
        </w:rPr>
      </w:r>
    </w:p>
    <w:p>
      <w:pPr>
        <w:pStyle w:val="Style29"/>
        <w:spacing w:before="0" w:after="0"/>
        <w:rPr>
          <w:b/>
          <w:b/>
          <w:sz w:val="24"/>
        </w:rPr>
      </w:pPr>
      <w:r>
        <w:rPr>
          <w:b/>
          <w:sz w:val="24"/>
        </w:rPr>
        <w:t>1.6 Перспективные топливные балансы</w:t>
      </w:r>
    </w:p>
    <w:p>
      <w:pPr>
        <w:pStyle w:val="Style29"/>
        <w:spacing w:before="0" w:after="0"/>
        <w:rPr>
          <w:b/>
          <w:b/>
          <w:sz w:val="24"/>
        </w:rPr>
      </w:pPr>
      <w:r>
        <w:rPr>
          <w:b/>
          <w:sz w:val="24"/>
        </w:rPr>
      </w:r>
    </w:p>
    <w:p>
      <w:pPr>
        <w:pStyle w:val="Style29"/>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pPr>
        <w:pStyle w:val="Style29"/>
        <w:spacing w:before="0" w:after="0"/>
        <w:rPr>
          <w:sz w:val="24"/>
        </w:rPr>
      </w:pPr>
      <w:r>
        <w:rPr>
          <w:sz w:val="24"/>
        </w:rPr>
        <w:t>Потребление топлива источниками тепловой энергии с.Азей отображено в таблице 1.8.</w:t>
      </w:r>
    </w:p>
    <w:p>
      <w:pPr>
        <w:pStyle w:val="Style29"/>
        <w:spacing w:before="0" w:after="0"/>
        <w:rPr>
          <w:sz w:val="24"/>
        </w:rPr>
      </w:pPr>
      <w:r>
        <w:rPr>
          <w:sz w:val="24"/>
        </w:rPr>
      </w:r>
    </w:p>
    <w:p>
      <w:pPr>
        <w:pStyle w:val="Style29"/>
        <w:spacing w:before="0" w:after="0"/>
        <w:rPr>
          <w:sz w:val="24"/>
        </w:rPr>
      </w:pPr>
      <w:r>
        <w:rPr>
          <w:sz w:val="24"/>
        </w:rPr>
        <w:t>Таблица 1.8. –  Перспективные топливные балансы теплоисточников с. Азей</w:t>
      </w:r>
    </w:p>
    <w:p>
      <w:pPr>
        <w:pStyle w:val="Style29"/>
        <w:spacing w:before="0" w:after="0"/>
        <w:rPr>
          <w:sz w:val="24"/>
        </w:rPr>
      </w:pPr>
      <w:r>
        <w:rPr>
          <w:sz w:val="24"/>
        </w:rPr>
      </w:r>
    </w:p>
    <w:tbl>
      <w:tblPr>
        <w:tblW w:w="1034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134"/>
        <w:gridCol w:w="1418"/>
        <w:gridCol w:w="1700"/>
        <w:gridCol w:w="993"/>
        <w:gridCol w:w="1701"/>
        <w:gridCol w:w="1134"/>
        <w:gridCol w:w="2268"/>
      </w:tblGrid>
      <w:tr>
        <w:trPr>
          <w:trHeight w:val="1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Источник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энергии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Установленная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мощность,</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часовая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нагрузка,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отпуск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часовой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т.у.т./ч</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условного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Удельный расход условного топлива наотпуск тепловой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энергии, кгу.т./Гкал</w:t>
            </w:r>
          </w:p>
        </w:tc>
      </w:tr>
      <w:tr>
        <w:trPr>
          <w:trHeight w:val="268" w:hRule="atLeast"/>
        </w:trPr>
        <w:tc>
          <w:tcPr>
            <w:tcW w:w="103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2018</w:t>
            </w:r>
          </w:p>
        </w:tc>
      </w:tr>
      <w:tr>
        <w:trPr>
          <w:trHeight w:val="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0,125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08"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11856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1956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2025</w:t>
            </w:r>
          </w:p>
        </w:tc>
      </w:tr>
      <w:tr>
        <w:trPr>
          <w:trHeight w:val="41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8951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1601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23"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14820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2448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2032</w:t>
            </w:r>
          </w:p>
        </w:tc>
      </w:tr>
      <w:tr>
        <w:trPr>
          <w:trHeight w:val="40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8062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13"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23712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0,66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3912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bl>
    <w:p>
      <w:pPr>
        <w:pStyle w:val="Style29"/>
        <w:spacing w:before="0" w:after="0"/>
        <w:rPr>
          <w:sz w:val="24"/>
        </w:rPr>
      </w:pPr>
      <w:r>
        <w:rPr>
          <w:sz w:val="24"/>
        </w:rPr>
        <w:t>* - индивидуальные теплогенераторы</w:t>
      </w:r>
    </w:p>
    <w:p>
      <w:pPr>
        <w:pStyle w:val="Style29"/>
        <w:spacing w:before="0" w:after="0"/>
        <w:rPr>
          <w:sz w:val="24"/>
        </w:rPr>
      </w:pPr>
      <w:r>
        <w:rPr>
          <w:sz w:val="24"/>
        </w:rPr>
        <w:t>При расчете годового и максимально–часового расхода условноготоплива, были приняты следующие показатели:</w:t>
      </w:r>
    </w:p>
    <w:p>
      <w:pPr>
        <w:pStyle w:val="Style29"/>
        <w:spacing w:before="0" w:after="0"/>
        <w:rPr>
          <w:sz w:val="24"/>
        </w:rPr>
      </w:pPr>
      <w:r>
        <w:rPr>
          <w:sz w:val="24"/>
        </w:rPr>
        <w:t>-</w:t>
        <w:tab/>
        <w:t xml:space="preserve">низшая теплота сгорания 1 кг условного топлива 6729 ккал/час; </w:t>
      </w:r>
    </w:p>
    <w:p>
      <w:pPr>
        <w:pStyle w:val="Style29"/>
        <w:spacing w:before="0" w:after="0"/>
        <w:rPr>
          <w:sz w:val="24"/>
        </w:rPr>
      </w:pPr>
      <w:r>
        <w:rPr>
          <w:sz w:val="24"/>
        </w:rPr>
        <w:t>-</w:t>
        <w:tab/>
        <w:t xml:space="preserve">кпд котлов котельной  по таблице 1.2 обосновывающих </w:t>
      </w:r>
      <w:bookmarkStart w:id="28" w:name="page79"/>
      <w:bookmarkEnd w:id="28"/>
      <w:r>
        <w:rPr>
          <w:sz w:val="24"/>
        </w:rPr>
        <w:t>материалов схемы теплоснабжения:</w:t>
      </w:r>
    </w:p>
    <w:p>
      <w:pPr>
        <w:pStyle w:val="Style29"/>
        <w:spacing w:before="0" w:after="0"/>
        <w:rPr>
          <w:sz w:val="24"/>
        </w:rPr>
      </w:pPr>
      <w:r>
        <w:rPr>
          <w:sz w:val="24"/>
        </w:rPr>
        <w:t>- КПД котлов котельной (КВм-1.25-115; КВБм-1,16-95) – 83%;</w:t>
      </w:r>
    </w:p>
    <w:p>
      <w:pPr>
        <w:pStyle w:val="Style29"/>
        <w:spacing w:before="0" w:after="0"/>
        <w:rPr>
          <w:sz w:val="24"/>
        </w:rPr>
      </w:pPr>
      <w:r>
        <w:rPr>
          <w:sz w:val="24"/>
        </w:rPr>
        <w:t xml:space="preserve">- КПД индивидуальных теплогенераторов – 90%. </w:t>
      </w:r>
    </w:p>
    <w:p>
      <w:pPr>
        <w:pStyle w:val="Style29"/>
        <w:spacing w:before="0" w:after="0"/>
        <w:rPr>
          <w:b/>
          <w:b/>
          <w:sz w:val="24"/>
        </w:rPr>
      </w:pPr>
      <w:bookmarkStart w:id="29" w:name="page81"/>
      <w:bookmarkStart w:id="30" w:name="page81"/>
      <w:bookmarkEnd w:id="30"/>
      <w:r>
        <w:rPr>
          <w:b/>
          <w:sz w:val="24"/>
        </w:rPr>
      </w:r>
    </w:p>
    <w:p>
      <w:pPr>
        <w:pStyle w:val="Style29"/>
        <w:spacing w:before="0" w:after="0"/>
        <w:rPr>
          <w:b/>
          <w:b/>
          <w:sz w:val="24"/>
        </w:rPr>
      </w:pPr>
      <w:r>
        <w:rPr>
          <w:b/>
          <w:sz w:val="24"/>
        </w:rPr>
        <w:t>1.7. Инвестиции в новое строительство, реконструкцию и техническое перевооружение</w:t>
      </w:r>
    </w:p>
    <w:p>
      <w:pPr>
        <w:pStyle w:val="Style29"/>
        <w:spacing w:before="0" w:after="0"/>
        <w:rPr>
          <w:sz w:val="24"/>
        </w:rPr>
      </w:pPr>
      <w:r>
        <w:rPr>
          <w:sz w:val="24"/>
        </w:rPr>
      </w:r>
    </w:p>
    <w:p>
      <w:pPr>
        <w:pStyle w:val="Style31"/>
        <w:spacing w:before="0" w:after="0"/>
        <w:rPr/>
      </w:pPr>
      <w:r>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pPr>
        <w:pStyle w:val="Style31"/>
        <w:spacing w:before="0" w:after="0"/>
        <w:rPr/>
      </w:pPr>
      <w:r>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pPr>
        <w:pStyle w:val="Style31"/>
        <w:spacing w:before="0" w:after="0"/>
        <w:rPr/>
      </w:pPr>
      <w:r>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pPr>
        <w:pStyle w:val="Style31"/>
        <w:spacing w:before="0" w:after="0"/>
        <w:rPr/>
      </w:pPr>
      <w:r>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pPr>
        <w:pStyle w:val="Style31"/>
        <w:spacing w:before="0" w:after="0"/>
        <w:rPr/>
      </w:pPr>
      <w:r>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pPr>
        <w:pStyle w:val="Style31"/>
        <w:spacing w:before="0" w:after="0"/>
        <w:rPr/>
      </w:pPr>
      <w:r>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pPr>
        <w:pStyle w:val="Style31"/>
        <w:spacing w:before="0" w:after="0"/>
        <w:rPr/>
      </w:pPr>
      <w:r>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pPr>
        <w:pStyle w:val="Style31"/>
        <w:spacing w:before="0" w:after="0"/>
        <w:rPr/>
      </w:pPr>
      <w:r>
        <w:rPr/>
        <w:t>В расчетах не учитывались:</w:t>
      </w:r>
    </w:p>
    <w:p>
      <w:pPr>
        <w:pStyle w:val="Style31"/>
        <w:spacing w:before="0" w:after="0"/>
        <w:rPr/>
      </w:pPr>
      <w:r>
        <w:rPr/>
        <w:t>- стоимость резервирования и выкупа земельных участков и недвижимости для государственных и муниципальных нужд;</w:t>
      </w:r>
    </w:p>
    <w:p>
      <w:pPr>
        <w:pStyle w:val="Style31"/>
        <w:spacing w:before="0" w:after="0"/>
        <w:rPr/>
      </w:pPr>
      <w:r>
        <w:rPr/>
        <w:t>- стоимость проведения топографо-геодезических и геологических изысканий на территориях строительства;</w:t>
      </w:r>
    </w:p>
    <w:p>
      <w:pPr>
        <w:pStyle w:val="Style31"/>
        <w:spacing w:before="0" w:after="0"/>
        <w:rPr/>
      </w:pPr>
      <w:r>
        <w:rPr/>
        <w:t>- стоимость мероприятий по сносу и демонтажу зданий и сооружений на территориях строительства;</w:t>
      </w:r>
    </w:p>
    <w:p>
      <w:pPr>
        <w:pStyle w:val="Style31"/>
        <w:spacing w:before="0" w:after="0"/>
        <w:rPr/>
      </w:pPr>
      <w:r>
        <w:rPr/>
        <w:t>- стоимость мероприятий по реконструкции существующих объектов;</w:t>
      </w:r>
    </w:p>
    <w:p>
      <w:pPr>
        <w:pStyle w:val="Style31"/>
        <w:spacing w:before="0" w:after="0"/>
        <w:rPr/>
      </w:pPr>
      <w:r>
        <w:rPr/>
        <w:t xml:space="preserve">- оснащение необходимым оборудованием и благоустройство прилегающей территории; </w:t>
      </w:r>
    </w:p>
    <w:p>
      <w:pPr>
        <w:pStyle w:val="Style29"/>
        <w:spacing w:before="0" w:after="0"/>
        <w:rPr>
          <w:b/>
          <w:b/>
          <w:sz w:val="24"/>
        </w:rPr>
      </w:pPr>
      <w:r>
        <w:rPr>
          <w:sz w:val="24"/>
        </w:rPr>
        <w:t>- особенности территории строительства.</w:t>
      </w:r>
    </w:p>
    <w:p>
      <w:pPr>
        <w:pStyle w:val="Style29"/>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1.8. и 1.9.</w:t>
      </w:r>
    </w:p>
    <w:p>
      <w:pPr>
        <w:pStyle w:val="Style29"/>
        <w:spacing w:before="0" w:after="0"/>
        <w:rPr>
          <w:sz w:val="24"/>
        </w:rPr>
      </w:pPr>
      <w:r>
        <w:rPr>
          <w:sz w:val="24"/>
        </w:rPr>
      </w:r>
    </w:p>
    <w:p>
      <w:pPr>
        <w:pStyle w:val="Style29"/>
        <w:spacing w:before="0" w:after="0"/>
        <w:rPr>
          <w:sz w:val="24"/>
        </w:rPr>
      </w:pPr>
      <w:r>
        <w:rPr>
          <w:sz w:val="24"/>
        </w:rPr>
        <w:t>Таблица 1.8. – Объем инвестиций в строительство, реконструкцию и техническое перевооружение источников тепла*</w:t>
      </w:r>
    </w:p>
    <w:p>
      <w:pPr>
        <w:pStyle w:val="Style29"/>
        <w:spacing w:before="0" w:after="0"/>
        <w:rPr>
          <w:sz w:val="24"/>
        </w:rPr>
      </w:pPr>
      <w:r>
        <w:rPr>
          <w:sz w:val="24"/>
        </w:rPr>
      </w:r>
    </w:p>
    <w:tbl>
      <w:tblPr>
        <w:tblW w:w="10207" w:type="dxa"/>
        <w:jc w:val="left"/>
        <w:tblInd w:w="-274"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558"/>
        <w:gridCol w:w="2410"/>
        <w:gridCol w:w="2127"/>
        <w:gridCol w:w="851"/>
        <w:gridCol w:w="1134"/>
        <w:gridCol w:w="426"/>
        <w:gridCol w:w="141"/>
        <w:gridCol w:w="888"/>
        <w:gridCol w:w="40"/>
        <w:gridCol w:w="630"/>
      </w:tblGrid>
      <w:tr>
        <w:trPr>
          <w:trHeight w:val="240" w:hRule="atLeast"/>
        </w:trPr>
        <w:tc>
          <w:tcPr>
            <w:tcW w:w="1558"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b/>
                <w:b/>
                <w:sz w:val="24"/>
              </w:rPr>
            </w:pPr>
            <w:r>
              <w:rPr>
                <w:b/>
                <w:sz w:val="24"/>
              </w:rPr>
              <w:t>Источник</w:t>
            </w:r>
          </w:p>
          <w:p>
            <w:pPr>
              <w:pStyle w:val="Style29"/>
              <w:spacing w:before="0" w:after="0"/>
              <w:ind w:hanging="0"/>
              <w:jc w:val="center"/>
              <w:rPr>
                <w:b/>
                <w:b/>
                <w:sz w:val="24"/>
              </w:rPr>
            </w:pPr>
            <w:r>
              <w:rPr>
                <w:b/>
                <w:sz w:val="24"/>
              </w:rPr>
              <w:t>тепловойэнергии</w:t>
            </w:r>
          </w:p>
        </w:tc>
        <w:tc>
          <w:tcPr>
            <w:tcW w:w="2410"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Планируемые</w:t>
            </w:r>
          </w:p>
          <w:p>
            <w:pPr>
              <w:pStyle w:val="Style29"/>
              <w:spacing w:before="0" w:after="0"/>
              <w:ind w:hanging="0"/>
              <w:jc w:val="center"/>
              <w:rPr>
                <w:b/>
                <w:b/>
                <w:sz w:val="24"/>
              </w:rPr>
            </w:pPr>
            <w:r>
              <w:rPr>
                <w:b/>
                <w:sz w:val="24"/>
              </w:rPr>
              <w:t>мероприятия</w:t>
            </w:r>
          </w:p>
        </w:tc>
        <w:tc>
          <w:tcPr>
            <w:tcW w:w="2127"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Цели реализации</w:t>
            </w:r>
          </w:p>
          <w:p>
            <w:pPr>
              <w:pStyle w:val="Style29"/>
              <w:spacing w:before="0" w:after="0"/>
              <w:ind w:hanging="0"/>
              <w:jc w:val="center"/>
              <w:rPr>
                <w:b/>
                <w:b/>
                <w:sz w:val="24"/>
              </w:rPr>
            </w:pPr>
            <w:r>
              <w:rPr>
                <w:b/>
                <w:sz w:val="24"/>
              </w:rPr>
              <w:t>мероприятия</w:t>
            </w:r>
          </w:p>
        </w:tc>
        <w:tc>
          <w:tcPr>
            <w:tcW w:w="4110" w:type="dxa"/>
            <w:gridSpan w:val="7"/>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Ориентировочный объем инвестиций*, тыс. руб.</w:t>
            </w:r>
          </w:p>
        </w:tc>
      </w:tr>
      <w:tr>
        <w:trPr>
          <w:trHeight w:val="220" w:hRule="atLeast"/>
        </w:trPr>
        <w:tc>
          <w:tcPr>
            <w:tcW w:w="1558"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r>
          </w:p>
        </w:tc>
        <w:tc>
          <w:tcPr>
            <w:tcW w:w="2410" w:type="dxa"/>
            <w:vMerge w:val="continue"/>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2127" w:type="dxa"/>
            <w:vMerge w:val="continue"/>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851" w:type="dxa"/>
            <w:vMerge w:val="restart"/>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всего</w:t>
            </w:r>
          </w:p>
        </w:tc>
        <w:tc>
          <w:tcPr>
            <w:tcW w:w="3259" w:type="dxa"/>
            <w:gridSpan w:val="6"/>
            <w:tcBorders>
              <w:bottom w:val="single" w:sz="8" w:space="0" w:color="00000A"/>
              <w:right w:val="single" w:sz="4" w:space="0" w:color="00000A"/>
              <w:insideH w:val="single" w:sz="8" w:space="0" w:color="00000A"/>
              <w:insideV w:val="single" w:sz="4" w:space="0" w:color="00000A"/>
            </w:tcBorders>
            <w:shd w:fill="auto" w:val="clear"/>
            <w:vAlign w:val="center"/>
          </w:tcPr>
          <w:p>
            <w:pPr>
              <w:pStyle w:val="Style29"/>
              <w:spacing w:before="0" w:after="0"/>
              <w:ind w:hanging="0"/>
              <w:jc w:val="center"/>
              <w:rPr>
                <w:sz w:val="24"/>
              </w:rPr>
            </w:pPr>
            <w:r>
              <w:rPr>
                <w:sz w:val="24"/>
              </w:rPr>
              <w:t>в том числе по годам</w:t>
            </w:r>
          </w:p>
        </w:tc>
      </w:tr>
      <w:tr>
        <w:trPr>
          <w:trHeight w:val="220" w:hRule="atLeast"/>
        </w:trPr>
        <w:tc>
          <w:tcPr>
            <w:tcW w:w="1558"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r>
          </w:p>
        </w:tc>
        <w:tc>
          <w:tcPr>
            <w:tcW w:w="241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212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85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1701"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2025</w:t>
            </w:r>
          </w:p>
        </w:tc>
        <w:tc>
          <w:tcPr>
            <w:tcW w:w="1558"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2032</w:t>
            </w:r>
          </w:p>
        </w:tc>
      </w:tr>
      <w:tr>
        <w:trPr>
          <w:trHeight w:val="220" w:hRule="atLeast"/>
        </w:trPr>
        <w:tc>
          <w:tcPr>
            <w:tcW w:w="3968" w:type="dxa"/>
            <w:gridSpan w:val="2"/>
            <w:tcBorders>
              <w:left w:val="single" w:sz="8" w:space="0" w:color="00000A"/>
              <w:bottom w:val="single" w:sz="4" w:space="0" w:color="00000A"/>
              <w:insideH w:val="single" w:sz="4"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Источники тепловой энергии</w:t>
            </w:r>
          </w:p>
        </w:tc>
        <w:tc>
          <w:tcPr>
            <w:tcW w:w="2127"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6"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29" w:type="dxa"/>
            <w:gridSpan w:val="2"/>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0"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3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866" w:hRule="atLeast"/>
        </w:trPr>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Замена котлов</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Повышение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эффективности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работы котельной,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снижение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себестоимости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вырабатываемой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тепловой энергии</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439" w:hRule="atLeast"/>
        </w:trPr>
        <w:tc>
          <w:tcPr>
            <w:tcW w:w="39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 по источникам тепловой энергии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Style29"/>
        <w:spacing w:before="0" w:after="0"/>
        <w:rPr>
          <w:sz w:val="24"/>
        </w:rPr>
      </w:pPr>
      <w:r>
        <w:rPr>
          <w:sz w:val="24"/>
        </w:rPr>
      </w:r>
    </w:p>
    <w:p>
      <w:pPr>
        <w:pStyle w:val="Style29"/>
        <w:spacing w:before="0" w:after="0"/>
        <w:rPr>
          <w:sz w:val="24"/>
        </w:rPr>
      </w:pPr>
      <w:r>
        <w:rPr>
          <w:sz w:val="24"/>
        </w:rPr>
        <w:t>Таблица 1.9. Объем инвестиций в строительство, реконструкцию и техническое перевооружение тепловых сетей*</w:t>
      </w:r>
    </w:p>
    <w:p>
      <w:pPr>
        <w:pStyle w:val="Style29"/>
        <w:spacing w:before="0" w:after="0"/>
        <w:rPr>
          <w:sz w:val="24"/>
        </w:rPr>
      </w:pPr>
      <w:r>
        <w:rPr>
          <w:sz w:val="24"/>
        </w:rPr>
      </w:r>
    </w:p>
    <w:tbl>
      <w:tblPr>
        <w:tblpPr w:bottomFromText="0" w:horzAnchor="margin" w:leftFromText="180" w:rightFromText="180" w:tblpX="0" w:tblpY="121" w:topFromText="0" w:vertAnchor="text"/>
        <w:tblW w:w="10207" w:type="dxa"/>
        <w:jc w:val="left"/>
        <w:tblInd w:w="0" w:type="dxa"/>
        <w:tblBorders>
          <w:top w:val="single" w:sz="8" w:space="0" w:color="00000A"/>
          <w:left w:val="single" w:sz="4" w:space="0" w:color="00000A"/>
          <w:right w:val="single" w:sz="8" w:space="0" w:color="00000A"/>
          <w:insideV w:val="single" w:sz="8" w:space="0" w:color="00000A"/>
        </w:tblBorders>
        <w:tblCellMar>
          <w:top w:w="0" w:type="dxa"/>
          <w:left w:w="-5" w:type="dxa"/>
          <w:bottom w:w="0" w:type="dxa"/>
          <w:right w:w="0" w:type="dxa"/>
        </w:tblCellMar>
        <w:tblLook w:firstRow="0" w:noVBand="0" w:lastRow="0" w:firstColumn="0" w:lastColumn="0" w:noHBand="0" w:val="0000"/>
      </w:tblPr>
      <w:tblGrid>
        <w:gridCol w:w="1555"/>
        <w:gridCol w:w="1990"/>
        <w:gridCol w:w="2528"/>
        <w:gridCol w:w="1"/>
        <w:gridCol w:w="846"/>
        <w:gridCol w:w="1"/>
        <w:gridCol w:w="1727"/>
        <w:gridCol w:w="1"/>
        <w:gridCol w:w="1557"/>
      </w:tblGrid>
      <w:tr>
        <w:trPr>
          <w:trHeight w:val="404" w:hRule="atLeast"/>
        </w:trPr>
        <w:tc>
          <w:tcPr>
            <w:tcW w:w="1555"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Style29"/>
              <w:spacing w:before="0" w:after="0"/>
              <w:ind w:firstLine="5"/>
              <w:jc w:val="center"/>
              <w:rPr>
                <w:b/>
                <w:b/>
                <w:sz w:val="24"/>
              </w:rPr>
            </w:pPr>
            <w:r>
              <w:rPr>
                <w:b/>
                <w:sz w:val="24"/>
              </w:rPr>
              <w:t>Объект</w:t>
            </w:r>
          </w:p>
        </w:tc>
        <w:tc>
          <w:tcPr>
            <w:tcW w:w="1990"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firstLine="5"/>
              <w:jc w:val="center"/>
              <w:rPr>
                <w:b/>
                <w:b/>
                <w:sz w:val="24"/>
              </w:rPr>
            </w:pPr>
            <w:r>
              <w:rPr>
                <w:b/>
                <w:sz w:val="24"/>
              </w:rPr>
              <w:t>Планируемые</w:t>
            </w:r>
          </w:p>
          <w:p>
            <w:pPr>
              <w:pStyle w:val="Style29"/>
              <w:spacing w:before="0" w:after="0"/>
              <w:ind w:firstLine="5"/>
              <w:jc w:val="center"/>
              <w:rPr>
                <w:b/>
                <w:b/>
                <w:sz w:val="24"/>
              </w:rPr>
            </w:pPr>
            <w:r>
              <w:rPr>
                <w:b/>
                <w:sz w:val="24"/>
              </w:rPr>
              <w:t>мероприятия</w:t>
            </w:r>
          </w:p>
        </w:tc>
        <w:tc>
          <w:tcPr>
            <w:tcW w:w="2529" w:type="dxa"/>
            <w:gridSpan w:val="2"/>
            <w:vMerge w:val="restart"/>
            <w:tcBorders>
              <w:top w:val="single" w:sz="8" w:space="0" w:color="00000A"/>
              <w:right w:val="single" w:sz="4" w:space="0" w:color="00000A"/>
              <w:insideV w:val="single" w:sz="4" w:space="0" w:color="00000A"/>
            </w:tcBorders>
            <w:shd w:fill="auto" w:val="clear"/>
            <w:vAlign w:val="center"/>
          </w:tcPr>
          <w:p>
            <w:pPr>
              <w:pStyle w:val="Style29"/>
              <w:spacing w:before="0" w:after="0"/>
              <w:ind w:firstLine="5"/>
              <w:jc w:val="center"/>
              <w:rPr>
                <w:b/>
                <w:b/>
                <w:sz w:val="24"/>
              </w:rPr>
            </w:pPr>
            <w:r>
              <w:rPr>
                <w:b/>
                <w:sz w:val="24"/>
              </w:rPr>
              <w:t>Цели реализации</w:t>
            </w:r>
          </w:p>
          <w:p>
            <w:pPr>
              <w:pStyle w:val="Style29"/>
              <w:spacing w:before="0" w:after="0"/>
              <w:ind w:firstLine="5"/>
              <w:jc w:val="center"/>
              <w:rPr>
                <w:b/>
                <w:b/>
                <w:sz w:val="24"/>
              </w:rPr>
            </w:pPr>
            <w:r>
              <w:rPr>
                <w:b/>
                <w:sz w:val="24"/>
              </w:rPr>
              <w:t>мероприятия</w:t>
            </w:r>
          </w:p>
        </w:tc>
        <w:tc>
          <w:tcPr>
            <w:tcW w:w="413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b/>
                <w:b/>
                <w:sz w:val="24"/>
              </w:rPr>
            </w:pPr>
            <w:r>
              <w:rPr>
                <w:b/>
                <w:sz w:val="24"/>
              </w:rPr>
              <w:t>Ориентировочный объем инвестиций*, тыс. руб.</w:t>
            </w:r>
          </w:p>
        </w:tc>
      </w:tr>
      <w:tr>
        <w:trPr>
          <w:trHeight w:val="310" w:hRule="atLeast"/>
        </w:trPr>
        <w:tc>
          <w:tcPr>
            <w:tcW w:w="1555"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990" w:type="dxa"/>
            <w:vMerge w:val="continue"/>
            <w:tcBorders>
              <w:right w:val="single" w:sz="8" w:space="0" w:color="00000A"/>
              <w:insideV w:val="single" w:sz="8" w:space="0" w:color="00000A"/>
            </w:tcBorders>
            <w:shd w:fill="auto" w:val="clear"/>
            <w:vAlign w:val="center"/>
          </w:tcPr>
          <w:p>
            <w:pPr>
              <w:pStyle w:val="Style29"/>
              <w:spacing w:before="0" w:after="0"/>
              <w:ind w:firstLine="5"/>
              <w:jc w:val="center"/>
              <w:rPr>
                <w:sz w:val="24"/>
              </w:rPr>
            </w:pPr>
            <w:r>
              <w:rPr>
                <w:sz w:val="24"/>
              </w:rPr>
            </w:r>
          </w:p>
        </w:tc>
        <w:tc>
          <w:tcPr>
            <w:tcW w:w="2529" w:type="dxa"/>
            <w:gridSpan w:val="2"/>
            <w:vMerge w:val="continue"/>
            <w:tcBorders>
              <w:right w:val="single" w:sz="4" w:space="0" w:color="00000A"/>
              <w:insideV w:val="single" w:sz="4" w:space="0" w:color="00000A"/>
            </w:tcBorders>
            <w:shd w:fill="auto" w:val="clear"/>
            <w:vAlign w:val="center"/>
          </w:tcPr>
          <w:p>
            <w:pPr>
              <w:pStyle w:val="Style29"/>
              <w:spacing w:before="0" w:after="0"/>
              <w:ind w:firstLine="5"/>
              <w:jc w:val="center"/>
              <w:rPr>
                <w:sz w:val="24"/>
              </w:rPr>
            </w:pPr>
            <w:r>
              <w:rPr>
                <w:sz w:val="24"/>
              </w:rPr>
            </w:r>
          </w:p>
        </w:tc>
        <w:tc>
          <w:tcPr>
            <w:tcW w:w="847" w:type="dxa"/>
            <w:gridSpan w:val="2"/>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всего</w:t>
            </w:r>
          </w:p>
        </w:tc>
        <w:tc>
          <w:tcPr>
            <w:tcW w:w="32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В том числе по срокам</w:t>
            </w:r>
          </w:p>
        </w:tc>
      </w:tr>
      <w:tr>
        <w:trPr>
          <w:trHeight w:val="215" w:hRule="atLeast"/>
        </w:trPr>
        <w:tc>
          <w:tcPr>
            <w:tcW w:w="1555"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990" w:type="dxa"/>
            <w:vMerge w:val="continue"/>
            <w:tcBorders>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firstLine="5"/>
              <w:jc w:val="center"/>
              <w:rPr>
                <w:sz w:val="24"/>
              </w:rPr>
            </w:pPr>
            <w:r>
              <w:rPr>
                <w:sz w:val="24"/>
              </w:rPr>
            </w:r>
          </w:p>
        </w:tc>
        <w:tc>
          <w:tcPr>
            <w:tcW w:w="2529"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Style29"/>
              <w:spacing w:before="0" w:after="0"/>
              <w:ind w:firstLine="5"/>
              <w:jc w:val="center"/>
              <w:rPr>
                <w:sz w:val="24"/>
              </w:rPr>
            </w:pPr>
            <w:r>
              <w:rPr>
                <w:sz w:val="24"/>
              </w:rPr>
            </w:r>
          </w:p>
        </w:tc>
        <w:tc>
          <w:tcPr>
            <w:tcW w:w="847"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2025</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2032</w:t>
            </w:r>
          </w:p>
        </w:tc>
      </w:tr>
      <w:tr>
        <w:trPr>
          <w:trHeight w:val="1056"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ТК-ДС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детского сада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45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27</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27</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r>
      <w:tr>
        <w:trPr>
          <w:trHeight w:val="1143"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Котельная - спортзал</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спортивного зала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280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168</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168</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r>
      <w:tr>
        <w:trPr>
          <w:trHeight w:val="92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ТК - ПП</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перспективных потребителей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500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300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300</w:t>
            </w:r>
          </w:p>
        </w:tc>
      </w:tr>
      <w:tr>
        <w:trPr>
          <w:trHeight w:val="961"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Реконструкция тепловых сетей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1250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750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Всего по тепловым сетям:</w:t>
            </w:r>
          </w:p>
        </w:tc>
        <w:tc>
          <w:tcPr>
            <w:tcW w:w="847"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1245</w:t>
            </w:r>
          </w:p>
        </w:tc>
        <w:tc>
          <w:tcPr>
            <w:tcW w:w="1728" w:type="dxa"/>
            <w:gridSpan w:val="2"/>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195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1050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Всего по мероприятиям:</w:t>
            </w:r>
          </w:p>
        </w:tc>
        <w:tc>
          <w:tcPr>
            <w:tcW w:w="84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7115</w:t>
            </w:r>
          </w:p>
        </w:tc>
        <w:tc>
          <w:tcPr>
            <w:tcW w:w="172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b/>
                <w:b/>
                <w:sz w:val="24"/>
                <w:szCs w:val="24"/>
              </w:rPr>
            </w:pPr>
            <w:r>
              <w:rPr>
                <w:rFonts w:cs="Times New Roman" w:ascii="Times New Roman" w:hAnsi="Times New Roman"/>
                <w:b/>
                <w:sz w:val="24"/>
                <w:szCs w:val="24"/>
              </w:rPr>
              <w:t>6065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1050</w:t>
            </w:r>
          </w:p>
        </w:tc>
      </w:tr>
    </w:tbl>
    <w:p>
      <w:pPr>
        <w:pStyle w:val="Style29"/>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pPr>
        <w:pStyle w:val="Style29"/>
        <w:spacing w:before="0" w:after="0"/>
        <w:rPr>
          <w:sz w:val="24"/>
        </w:rPr>
      </w:pPr>
      <w:r>
        <w:rPr>
          <w:sz w:val="24"/>
        </w:rPr>
      </w:r>
    </w:p>
    <w:p>
      <w:pPr>
        <w:pStyle w:val="Style29"/>
        <w:spacing w:before="0" w:after="0"/>
        <w:rPr>
          <w:b/>
          <w:b/>
          <w:sz w:val="24"/>
        </w:rPr>
      </w:pPr>
      <w:bookmarkStart w:id="31" w:name="page87"/>
      <w:bookmarkStart w:id="32" w:name="page85"/>
      <w:bookmarkEnd w:id="31"/>
      <w:bookmarkEnd w:id="32"/>
      <w:r>
        <w:rPr>
          <w:b/>
          <w:sz w:val="24"/>
        </w:rPr>
        <w:t>1.8. Решение о выборе единой теплоснабжающей организации</w:t>
      </w:r>
    </w:p>
    <w:p>
      <w:pPr>
        <w:pStyle w:val="Style29"/>
        <w:spacing w:before="0" w:after="0"/>
        <w:rPr>
          <w:b/>
          <w:b/>
          <w:sz w:val="24"/>
        </w:rPr>
      </w:pPr>
      <w:r>
        <w:rPr>
          <w:b/>
          <w:sz w:val="24"/>
        </w:rPr>
      </w:r>
    </w:p>
    <w:p>
      <w:pPr>
        <w:pStyle w:val="Style29"/>
        <w:spacing w:before="0" w:after="0"/>
        <w:rPr>
          <w:sz w:val="24"/>
        </w:rPr>
      </w:pPr>
      <w:r>
        <w:rPr>
          <w:sz w:val="24"/>
        </w:rPr>
        <w:t>В соответствии со статьей 2 п. 28 Федерального закона от 27 июля 2010года №190 – ФЗ «О теплоснабжении»:</w:t>
      </w:r>
    </w:p>
    <w:p>
      <w:pPr>
        <w:pStyle w:val="Style29"/>
        <w:spacing w:before="0" w:after="0"/>
        <w:rPr>
          <w:sz w:val="24"/>
        </w:rPr>
      </w:pPr>
      <w:r>
        <w:rPr>
          <w:sz w:val="24"/>
        </w:rPr>
        <w:t>«Единая теплоснабжающая организация в системе теплоснабжения(далее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pPr>
        <w:pStyle w:val="Style29"/>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pPr>
        <w:pStyle w:val="Style29"/>
        <w:spacing w:before="0" w:after="0"/>
        <w:rPr>
          <w:sz w:val="24"/>
        </w:rPr>
      </w:pPr>
      <w:r>
        <w:rPr>
          <w:sz w:val="24"/>
        </w:rPr>
        <w:t>Порядок определения единой теплоснабжающей организации:</w:t>
      </w:r>
    </w:p>
    <w:p>
      <w:pPr>
        <w:pStyle w:val="Style29"/>
        <w:spacing w:before="0" w:after="0"/>
        <w:rPr>
          <w:sz w:val="24"/>
        </w:rPr>
      </w:pPr>
      <w:r>
        <w:rPr>
          <w:sz w:val="24"/>
        </w:rPr>
        <w:t xml:space="preserve">– </w:t>
      </w:r>
      <w:r>
        <w:rPr>
          <w:sz w:val="24"/>
        </w:rPr>
        <w:t xml:space="preserve">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pPr>
        <w:pStyle w:val="Style29"/>
        <w:spacing w:before="0" w:after="0"/>
        <w:rPr>
          <w:sz w:val="24"/>
        </w:rPr>
      </w:pPr>
      <w:r>
        <w:rPr>
          <w:sz w:val="24"/>
        </w:rPr>
        <w:t xml:space="preserve">– </w:t>
      </w:r>
      <w:r>
        <w:rPr>
          <w:sz w:val="24"/>
        </w:rPr>
        <w:t xml:space="preserve">в проекте схемы теплоснабжения должны быть определены границы зон деятельности единой теплоснабжающей организации (организаций). </w:t>
      </w:r>
    </w:p>
    <w:p>
      <w:pPr>
        <w:pStyle w:val="Style29"/>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pPr>
        <w:pStyle w:val="Style29"/>
        <w:spacing w:before="0" w:after="0"/>
        <w:rPr>
          <w:sz w:val="24"/>
        </w:rPr>
      </w:pPr>
      <w:r>
        <w:rPr>
          <w:sz w:val="24"/>
        </w:rPr>
        <w:t>Критерии определения единой теплоснабжающей организации:</w:t>
      </w:r>
    </w:p>
    <w:p>
      <w:pPr>
        <w:pStyle w:val="Style29"/>
        <w:spacing w:before="0" w:after="0"/>
        <w:rPr>
          <w:sz w:val="24"/>
        </w:rPr>
      </w:pPr>
      <w:bookmarkStart w:id="33" w:name="page89"/>
      <w:bookmarkEnd w:id="33"/>
      <w:r>
        <w:rPr>
          <w:sz w:val="24"/>
        </w:rPr>
        <w:t xml:space="preserve">– </w:t>
      </w:r>
      <w:r>
        <w:rPr>
          <w:sz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pPr>
        <w:pStyle w:val="Style29"/>
        <w:spacing w:before="0" w:after="0"/>
        <w:rPr>
          <w:sz w:val="24"/>
        </w:rPr>
      </w:pPr>
      <w:r>
        <w:rPr>
          <w:sz w:val="24"/>
        </w:rPr>
        <w:t xml:space="preserve">– </w:t>
      </w:r>
      <w:r>
        <w:rPr>
          <w:sz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pPr>
        <w:pStyle w:val="Style29"/>
        <w:spacing w:before="0" w:after="0"/>
        <w:rPr>
          <w:sz w:val="24"/>
        </w:rPr>
      </w:pPr>
      <w:r>
        <w:rPr>
          <w:sz w:val="24"/>
        </w:rPr>
        <w:t xml:space="preserve">– </w:t>
      </w:r>
      <w:r>
        <w:rPr>
          <w:sz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pPr>
        <w:pStyle w:val="Style29"/>
        <w:spacing w:before="0" w:after="0"/>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pPr>
        <w:pStyle w:val="Style29"/>
        <w:spacing w:before="0" w:after="0"/>
        <w:rPr>
          <w:sz w:val="24"/>
        </w:rPr>
      </w:pPr>
      <w:r>
        <w:rPr>
          <w:sz w:val="24"/>
        </w:rPr>
        <w:t>Единая теплоснабжающая организация обязана:</w:t>
      </w:r>
    </w:p>
    <w:p>
      <w:pPr>
        <w:pStyle w:val="Style29"/>
        <w:spacing w:before="0" w:after="0"/>
        <w:rPr>
          <w:sz w:val="24"/>
        </w:rPr>
      </w:pPr>
      <w:r>
        <w:rPr>
          <w:sz w:val="24"/>
        </w:rPr>
        <w:t xml:space="preserve">– </w:t>
      </w:r>
      <w:r>
        <w:rPr>
          <w:sz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pPr>
        <w:pStyle w:val="Style29"/>
        <w:spacing w:before="0" w:after="0"/>
        <w:rPr>
          <w:sz w:val="24"/>
        </w:rPr>
      </w:pPr>
      <w:bookmarkStart w:id="34" w:name="page91"/>
      <w:bookmarkEnd w:id="34"/>
      <w:r>
        <w:rPr>
          <w:sz w:val="24"/>
        </w:rPr>
        <w:t xml:space="preserve">– </w:t>
      </w:r>
      <w:r>
        <w:rPr>
          <w:sz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pPr>
        <w:pStyle w:val="Style29"/>
        <w:spacing w:before="0" w:after="0"/>
        <w:rPr>
          <w:sz w:val="24"/>
        </w:rPr>
      </w:pPr>
      <w:r>
        <w:rPr>
          <w:sz w:val="24"/>
        </w:rPr>
        <w:t>–</w:t>
      </w:r>
      <w:r>
        <w:rPr>
          <w:sz w:val="24"/>
        </w:rPr>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pPr>
        <w:pStyle w:val="Style29"/>
        <w:spacing w:before="0" w:after="0"/>
        <w:rPr>
          <w:sz w:val="24"/>
        </w:rPr>
      </w:pPr>
      <w:r>
        <w:rPr>
          <w:sz w:val="24"/>
        </w:rPr>
        <w:t xml:space="preserve">– </w:t>
      </w:r>
      <w:r>
        <w:rPr>
          <w:sz w:val="24"/>
        </w:rPr>
        <w:t xml:space="preserve">осуществлять контроль режимов потребления тепловой энергии в зоне своей деятельности. </w:t>
      </w:r>
    </w:p>
    <w:p>
      <w:pPr>
        <w:pStyle w:val="Style29"/>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pPr>
        <w:pStyle w:val="Style29"/>
        <w:spacing w:before="0" w:after="0"/>
        <w:rPr>
          <w:sz w:val="24"/>
        </w:rPr>
      </w:pPr>
      <w:r>
        <w:rPr>
          <w:sz w:val="24"/>
        </w:rPr>
        <w:t>Имеется необходимая  техника  для  проведения  земляных  работ, строительства и ремонта тепловых сетей.</w:t>
      </w:r>
    </w:p>
    <w:p>
      <w:pPr>
        <w:pStyle w:val="Style29"/>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pPr>
        <w:pStyle w:val="Style29"/>
        <w:spacing w:before="0" w:after="0"/>
        <w:rPr>
          <w:b/>
          <w:b/>
          <w:sz w:val="24"/>
        </w:rPr>
      </w:pPr>
      <w:r>
        <w:rPr>
          <w:b/>
          <w:sz w:val="24"/>
        </w:rPr>
      </w:r>
    </w:p>
    <w:p>
      <w:pPr>
        <w:pStyle w:val="Style29"/>
        <w:spacing w:before="0" w:after="0"/>
        <w:rPr>
          <w:b/>
          <w:b/>
          <w:sz w:val="24"/>
        </w:rPr>
      </w:pPr>
      <w:bookmarkStart w:id="35" w:name="page93"/>
      <w:bookmarkEnd w:id="35"/>
      <w:r>
        <w:rPr>
          <w:b/>
          <w:sz w:val="24"/>
        </w:rPr>
        <w:t>1.9. Решения о распределении тепловой нагрузки между источниками тепловой энергии</w:t>
      </w:r>
    </w:p>
    <w:p>
      <w:pPr>
        <w:pStyle w:val="Style29"/>
        <w:spacing w:before="0" w:after="0"/>
        <w:rPr>
          <w:b/>
          <w:b/>
          <w:sz w:val="24"/>
        </w:rPr>
      </w:pPr>
      <w:r>
        <w:rPr>
          <w:b/>
          <w:sz w:val="24"/>
        </w:rPr>
      </w:r>
    </w:p>
    <w:p>
      <w:pPr>
        <w:pStyle w:val="Style29"/>
        <w:spacing w:before="0" w:after="0"/>
        <w:rPr>
          <w:sz w:val="24"/>
        </w:rPr>
      </w:pPr>
      <w:r>
        <w:rPr>
          <w:sz w:val="24"/>
        </w:rPr>
        <w:t>Распределения тепловой нагрузки между источниками тепловой энергии по этапам Схемы при развитии теплоснабжения представлено в таблице 1.10.</w:t>
      </w:r>
    </w:p>
    <w:p>
      <w:pPr>
        <w:pStyle w:val="Style29"/>
        <w:spacing w:before="0" w:after="0"/>
        <w:rPr>
          <w:sz w:val="24"/>
        </w:rPr>
      </w:pPr>
      <w:r>
        <w:rPr>
          <w:sz w:val="24"/>
        </w:rPr>
      </w:r>
    </w:p>
    <w:p>
      <w:pPr>
        <w:pStyle w:val="Style29"/>
        <w:spacing w:before="0" w:after="0"/>
        <w:rPr>
          <w:sz w:val="24"/>
        </w:rPr>
      </w:pPr>
      <w:r>
        <w:rPr>
          <w:sz w:val="24"/>
        </w:rPr>
        <w:t>Таблица 1.10. Распределение тепловой нагрузки между источниками тепловой энергии при первом варианте развития теплоснабжения</w:t>
      </w:r>
    </w:p>
    <w:p>
      <w:pPr>
        <w:pStyle w:val="Style29"/>
        <w:spacing w:before="0" w:after="0"/>
        <w:rPr>
          <w:sz w:val="24"/>
        </w:rPr>
      </w:pPr>
      <w:r>
        <w:rPr>
          <w:sz w:val="24"/>
        </w:rPr>
      </w:r>
    </w:p>
    <w:tbl>
      <w:tblPr>
        <w:tblW w:w="96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999"/>
        <w:gridCol w:w="1621"/>
        <w:gridCol w:w="1380"/>
        <w:gridCol w:w="1679"/>
      </w:tblGrid>
      <w:tr>
        <w:trPr>
          <w:trHeight w:val="447" w:hRule="atLeast"/>
        </w:trPr>
        <w:tc>
          <w:tcPr>
            <w:tcW w:w="49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Тепловая нагрузка, Гкал/час</w:t>
            </w:r>
          </w:p>
        </w:tc>
      </w:tr>
      <w:tr>
        <w:trPr>
          <w:trHeight w:val="402" w:hRule="atLeast"/>
        </w:trPr>
        <w:tc>
          <w:tcPr>
            <w:tcW w:w="4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2014</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2032</w:t>
            </w:r>
          </w:p>
        </w:tc>
      </w:tr>
      <w:tr>
        <w:trPr>
          <w:trHeight w:val="402"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0,7</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1,36</w:t>
            </w:r>
          </w:p>
        </w:tc>
      </w:tr>
      <w:tr>
        <w:trPr>
          <w:trHeight w:val="552"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4,0</w:t>
            </w:r>
          </w:p>
        </w:tc>
      </w:tr>
    </w:tbl>
    <w:p>
      <w:pPr>
        <w:pStyle w:val="Normal"/>
        <w:widowControl w:val="false"/>
        <w:overflowPunct w:val="true"/>
        <w:spacing w:lineRule="auto" w:line="240" w:before="0" w:after="0"/>
        <w:ind w:hanging="192"/>
        <w:rPr>
          <w:sz w:val="24"/>
          <w:szCs w:val="24"/>
        </w:rPr>
      </w:pPr>
      <w:bookmarkStart w:id="36" w:name="page95"/>
      <w:bookmarkStart w:id="37" w:name="page95"/>
      <w:bookmarkEnd w:id="37"/>
      <w:r>
        <w:rPr>
          <w:sz w:val="24"/>
          <w:szCs w:val="24"/>
        </w:rPr>
      </w:r>
    </w:p>
    <w:p>
      <w:pPr>
        <w:pStyle w:val="Style29"/>
        <w:spacing w:before="0" w:after="0"/>
        <w:rPr>
          <w:b/>
          <w:b/>
          <w:sz w:val="24"/>
        </w:rPr>
      </w:pPr>
      <w:r>
        <w:rPr>
          <w:b/>
          <w:sz w:val="24"/>
        </w:rPr>
        <w:t xml:space="preserve">1.10. Решения по бесхозяйным тепловым сетям </w:t>
      </w:r>
    </w:p>
    <w:p>
      <w:pPr>
        <w:pStyle w:val="Style29"/>
        <w:spacing w:before="0" w:after="0"/>
        <w:rPr>
          <w:b/>
          <w:b/>
          <w:sz w:val="24"/>
        </w:rPr>
      </w:pPr>
      <w:r>
        <w:rPr>
          <w:b/>
          <w:sz w:val="24"/>
        </w:rPr>
      </w:r>
    </w:p>
    <w:p>
      <w:pPr>
        <w:pStyle w:val="Style29"/>
        <w:spacing w:before="0" w:after="0"/>
        <w:rPr>
          <w:sz w:val="24"/>
        </w:rPr>
      </w:pPr>
      <w:r>
        <w:rPr>
          <w:sz w:val="24"/>
        </w:rPr>
        <w:t>По данным МУСХП «Центральное» бесхозяйные тепловые сети на территории сельского поселения Азей отсутствуют.</w:t>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69" w:after="0"/>
        <w:jc w:val="right"/>
        <w:outlineLvl w:val="3"/>
        <w:rPr>
          <w:rFonts w:ascii="Times New Roman" w:hAnsi="Times New Roman" w:eastAsia="Arial" w:cs="Times New Roman"/>
          <w:bCs/>
          <w:spacing w:val="-1"/>
          <w:sz w:val="28"/>
          <w:szCs w:val="28"/>
          <w:lang w:eastAsia="en-US"/>
        </w:rPr>
      </w:pPr>
      <w:bookmarkStart w:id="38" w:name="page99"/>
      <w:bookmarkStart w:id="39" w:name="page99"/>
      <w:bookmarkEnd w:id="39"/>
      <w:r>
        <w:rPr>
          <w:rFonts w:eastAsia="Arial" w:cs="Times New Roman" w:ascii="Times New Roman" w:hAnsi="Times New Roman"/>
          <w:bCs/>
          <w:spacing w:val="-1"/>
          <w:sz w:val="28"/>
          <w:szCs w:val="28"/>
          <w:lang w:eastAsia="en-US"/>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Схема теплоснабжения</w:t>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Азейского сельского поселения Тулунского района Иркутской области</w:t>
      </w:r>
    </w:p>
    <w:p>
      <w:pPr>
        <w:pStyle w:val="Normal"/>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(Обосновывающие материалы)</w:t>
      </w:r>
    </w:p>
    <w:p>
      <w:pPr>
        <w:pStyle w:val="Normal"/>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Администрация Азейского сельского поселения</w:t>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2018 год</w:t>
      </w:r>
    </w:p>
    <w:p>
      <w:pPr>
        <w:pStyle w:val="Normal"/>
        <w:tabs>
          <w:tab w:val="left" w:pos="3261" w:leader="none"/>
        </w:tabs>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9"/>
        <w:spacing w:before="0" w:after="0"/>
        <w:rPr>
          <w:sz w:val="24"/>
        </w:rPr>
      </w:pPr>
      <w:r>
        <w:rPr>
          <w:sz w:val="24"/>
        </w:rPr>
        <w:t>2. ОБОСНОВЫВАЮЩИЕ МАТЕРИАЛЫ К СХЕМЕ ТЕПЛОСНАБЖЕНИЯ</w:t>
      </w:r>
    </w:p>
    <w:p>
      <w:pPr>
        <w:pStyle w:val="Style29"/>
        <w:spacing w:before="0" w:after="0"/>
        <w:rPr>
          <w:sz w:val="24"/>
        </w:rPr>
      </w:pPr>
      <w:r>
        <w:rPr>
          <w:sz w:val="24"/>
        </w:rPr>
      </w:r>
    </w:p>
    <w:p>
      <w:pPr>
        <w:pStyle w:val="Style29"/>
        <w:spacing w:before="0" w:after="0"/>
        <w:rPr>
          <w:b/>
          <w:b/>
          <w:sz w:val="24"/>
        </w:rPr>
      </w:pPr>
      <w:r>
        <w:rPr>
          <w:b/>
          <w:sz w:val="24"/>
        </w:rPr>
        <w:t>2.1. Существующее положение в сфере производства, передачи и потребления тепловой энергии для целей теплоснабжения</w:t>
      </w:r>
    </w:p>
    <w:p>
      <w:pPr>
        <w:pStyle w:val="Style29"/>
        <w:spacing w:before="0" w:after="0"/>
        <w:rPr>
          <w:b/>
          <w:b/>
          <w:sz w:val="24"/>
        </w:rPr>
      </w:pPr>
      <w:r>
        <w:rPr>
          <w:b/>
          <w:sz w:val="24"/>
        </w:rPr>
      </w:r>
    </w:p>
    <w:p>
      <w:pPr>
        <w:pStyle w:val="Style29"/>
        <w:spacing w:before="0" w:after="0"/>
        <w:rPr>
          <w:b/>
          <w:b/>
          <w:sz w:val="24"/>
        </w:rPr>
      </w:pPr>
      <w:r>
        <w:rPr>
          <w:b/>
          <w:sz w:val="24"/>
        </w:rPr>
        <w:t>2.1.1.  Краткая характеристика сельского поселения Азей и перспективы развития</w:t>
      </w:r>
    </w:p>
    <w:p>
      <w:pPr>
        <w:pStyle w:val="Style29"/>
        <w:spacing w:before="0" w:after="0"/>
        <w:rPr>
          <w:b/>
          <w:b/>
          <w:sz w:val="24"/>
        </w:rPr>
      </w:pPr>
      <w:r>
        <w:rPr>
          <w:b/>
          <w:sz w:val="24"/>
        </w:rPr>
      </w:r>
    </w:p>
    <w:p>
      <w:pPr>
        <w:pStyle w:val="Style29"/>
        <w:spacing w:before="0" w:after="0"/>
        <w:rPr>
          <w:sz w:val="24"/>
        </w:rPr>
      </w:pPr>
      <w:r>
        <w:rPr>
          <w:sz w:val="24"/>
        </w:rPr>
        <w:t xml:space="preserve">Азейское сельское поселение расположено на востоке Тулунского  района  Иркутской области. На севере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pPr>
        <w:pStyle w:val="Style29"/>
        <w:spacing w:before="0" w:after="0"/>
        <w:rPr>
          <w:sz w:val="24"/>
        </w:rPr>
      </w:pPr>
      <w:r>
        <w:rPr>
          <w:sz w:val="24"/>
        </w:rPr>
        <w:t xml:space="preserve"> </w:t>
      </w:r>
    </w:p>
    <w:p>
      <w:pPr>
        <w:pStyle w:val="Style29"/>
        <w:spacing w:before="0" w:after="0"/>
        <w:rPr>
          <w:sz w:val="24"/>
        </w:rPr>
      </w:pPr>
      <w:r>
        <w:rPr>
          <w:sz w:val="24"/>
        </w:rPr>
        <w:t>В состав территории Азейского сельского поселения входят земли следующих населенных пунктов: село Азей (административный центр), деревня Нюра.</w:t>
      </w:r>
    </w:p>
    <w:p>
      <w:pPr>
        <w:pStyle w:val="Style29"/>
        <w:spacing w:before="0" w:after="0"/>
        <w:rPr>
          <w:sz w:val="24"/>
        </w:rPr>
      </w:pPr>
      <w:r>
        <w:rPr>
          <w:sz w:val="24"/>
        </w:rPr>
      </w:r>
    </w:p>
    <w:p>
      <w:pPr>
        <w:sectPr>
          <w:footerReference w:type="default" r:id="rId7"/>
          <w:type w:val="nextPage"/>
          <w:pgSz w:w="11906" w:h="16838"/>
          <w:pgMar w:left="1134" w:right="284" w:header="0" w:top="567" w:footer="720" w:bottom="851" w:gutter="0"/>
          <w:pgNumType w:fmt="decimal"/>
          <w:formProt w:val="false"/>
          <w:textDirection w:val="lrTb"/>
          <w:docGrid w:type="default" w:linePitch="100" w:charSpace="4096"/>
        </w:sectPr>
        <w:pStyle w:val="Style29"/>
        <w:spacing w:before="0" w:after="0"/>
        <w:rPr/>
      </w:pPr>
      <w:r>
        <w:rPr>
          <w:sz w:val="24"/>
        </w:rPr>
        <w:t>Численность населения на 01.01.2018 года - 732 человека. Относится к средним сельским населенным пунктам с численностью жителей от 200 до 1000 человек.</w:t>
        <w:tab/>
      </w:r>
    </w:p>
    <w:p>
      <w:pPr>
        <w:pStyle w:val="Style29"/>
        <w:tabs>
          <w:tab w:val="left" w:pos="6513" w:leader="none"/>
        </w:tabs>
        <w:spacing w:lineRule="auto" w:line="360"/>
        <w:rPr/>
      </w:pPr>
      <w:r>
        <w:rPr/>
        <w:drawing>
          <wp:inline distT="0" distB="0" distL="0" distR="0">
            <wp:extent cx="9686290" cy="602170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8"/>
                    <a:stretch>
                      <a:fillRect/>
                    </a:stretch>
                  </pic:blipFill>
                  <pic:spPr bwMode="auto">
                    <a:xfrm>
                      <a:off x="0" y="0"/>
                      <a:ext cx="9686290" cy="6021705"/>
                    </a:xfrm>
                    <a:prstGeom prst="rect">
                      <a:avLst/>
                    </a:prstGeom>
                  </pic:spPr>
                </pic:pic>
              </a:graphicData>
            </a:graphic>
          </wp:inline>
        </w:drawing>
      </w:r>
    </w:p>
    <w:p>
      <w:pPr>
        <w:sectPr>
          <w:footerReference w:type="default" r:id="rId9"/>
          <w:type w:val="nextPage"/>
          <w:pgSz w:orient="landscape" w:w="16838" w:h="11906"/>
          <w:pgMar w:left="567" w:right="680" w:header="0" w:top="284" w:footer="720" w:bottom="777" w:gutter="0"/>
          <w:pgNumType w:fmt="decimal"/>
          <w:formProt w:val="false"/>
          <w:textDirection w:val="lrTb"/>
          <w:docGrid w:type="default" w:linePitch="299" w:charSpace="4096"/>
        </w:sectPr>
        <w:pStyle w:val="Style29"/>
        <w:spacing w:lineRule="auto" w:line="360"/>
        <w:rPr>
          <w:szCs w:val="28"/>
        </w:rPr>
      </w:pPr>
      <w:r>
        <w:rPr/>
        <w:t>Рисунок 2.1. – Административно-территориальное деление Азейского СП Тулунского района Иркутской области</w:t>
      </w:r>
    </w:p>
    <w:p>
      <w:pPr>
        <w:pStyle w:val="Style29"/>
        <w:spacing w:before="0" w:after="0"/>
        <w:rPr>
          <w:b/>
          <w:b/>
          <w:sz w:val="24"/>
        </w:rPr>
      </w:pPr>
      <w:bookmarkStart w:id="40" w:name="page103"/>
      <w:bookmarkStart w:id="41" w:name="page101"/>
      <w:bookmarkEnd w:id="40"/>
      <w:bookmarkEnd w:id="41"/>
      <w:r>
        <w:rPr>
          <w:b/>
          <w:sz w:val="24"/>
        </w:rPr>
        <w:t>2.1.2. Климат</w:t>
      </w:r>
    </w:p>
    <w:p>
      <w:pPr>
        <w:pStyle w:val="Style29"/>
        <w:spacing w:before="0" w:after="0"/>
        <w:rPr>
          <w:b/>
          <w:b/>
          <w:sz w:val="24"/>
        </w:rPr>
      </w:pPr>
      <w:r>
        <w:rPr>
          <w:b/>
          <w:sz w:val="24"/>
        </w:rPr>
      </w:r>
    </w:p>
    <w:p>
      <w:pPr>
        <w:pStyle w:val="Style29"/>
        <w:spacing w:before="0" w:after="0"/>
        <w:rPr>
          <w:sz w:val="24"/>
        </w:rPr>
      </w:pPr>
      <w:r>
        <w:rPr>
          <w:sz w:val="24"/>
        </w:rPr>
        <w:t>Климат Азейского сельского поселения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pPr>
        <w:pStyle w:val="Style29"/>
        <w:spacing w:before="0" w:after="0"/>
        <w:rPr>
          <w:sz w:val="24"/>
        </w:rPr>
      </w:pPr>
      <w:r>
        <w:rPr>
          <w:sz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pPr>
        <w:pStyle w:val="Style29"/>
        <w:spacing w:before="0" w:after="0"/>
        <w:rPr>
          <w:sz w:val="24"/>
        </w:rPr>
      </w:pPr>
      <w:r>
        <w:rPr>
          <w:sz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pPr>
        <w:pStyle w:val="Style29"/>
        <w:spacing w:before="0" w:after="0"/>
        <w:rPr>
          <w:sz w:val="24"/>
        </w:rPr>
      </w:pPr>
      <w:r>
        <w:rPr>
          <w:sz w:val="24"/>
        </w:rPr>
        <w:t>В целом по Азейскому сельскому поселению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pPr>
        <w:pStyle w:val="Style29"/>
        <w:spacing w:before="0" w:after="0"/>
        <w:rPr>
          <w:sz w:val="24"/>
        </w:rPr>
      </w:pPr>
      <w:r>
        <w:rPr>
          <w:sz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pPr>
        <w:pStyle w:val="Style29"/>
        <w:spacing w:before="0" w:after="0"/>
        <w:rPr>
          <w:sz w:val="24"/>
        </w:rPr>
      </w:pPr>
      <w:r>
        <w:rPr>
          <w:sz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pPr>
        <w:pStyle w:val="Style29"/>
        <w:spacing w:before="0" w:after="0"/>
        <w:rPr>
          <w:sz w:val="24"/>
        </w:rPr>
      </w:pPr>
      <w:r>
        <w:rPr>
          <w:sz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 раз в год может достигать 18м/с, в 5лет 22м/с, в 15 лет- 25м/с. Наиболее ветреные месяцы апрель и май /до 3,4-3,5м/с.</w:t>
      </w:r>
    </w:p>
    <w:p>
      <w:pPr>
        <w:pStyle w:val="Style29"/>
        <w:spacing w:before="0" w:after="0"/>
        <w:rPr>
          <w:sz w:val="24"/>
        </w:rPr>
      </w:pPr>
      <w:r>
        <w:rPr>
          <w:sz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сельского поселения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pPr>
        <w:pStyle w:val="Style29"/>
        <w:spacing w:before="0" w:after="0"/>
        <w:rPr>
          <w:sz w:val="24"/>
        </w:rPr>
      </w:pPr>
      <w:r>
        <w:rPr>
          <w:sz w:val="24"/>
        </w:rPr>
      </w:r>
    </w:p>
    <w:p>
      <w:pPr>
        <w:pStyle w:val="Style29"/>
        <w:spacing w:before="0" w:after="0"/>
        <w:rPr>
          <w:b/>
          <w:b/>
          <w:sz w:val="24"/>
        </w:rPr>
      </w:pPr>
      <w:r>
        <w:rPr>
          <w:b/>
          <w:sz w:val="24"/>
        </w:rPr>
        <w:t>2.1.3. Рельеф и геоморфология</w:t>
      </w:r>
    </w:p>
    <w:p>
      <w:pPr>
        <w:pStyle w:val="Style29"/>
        <w:spacing w:before="0" w:after="0"/>
        <w:rPr>
          <w:b/>
          <w:b/>
          <w:sz w:val="24"/>
        </w:rPr>
      </w:pPr>
      <w:r>
        <w:rPr>
          <w:b/>
          <w:sz w:val="24"/>
        </w:rPr>
      </w:r>
    </w:p>
    <w:p>
      <w:pPr>
        <w:pStyle w:val="Style29"/>
        <w:spacing w:before="0" w:after="0"/>
        <w:rPr>
          <w:rFonts w:eastAsia="Times New Roman"/>
          <w:sz w:val="24"/>
          <w:lang w:eastAsia="ar-SA"/>
        </w:rPr>
      </w:pPr>
      <w:r>
        <w:rPr>
          <w:rFonts w:eastAsia="Times New Roman"/>
          <w:sz w:val="24"/>
          <w:lang w:eastAsia="ar-SA"/>
        </w:rPr>
        <w:t xml:space="preserve">Территория Азейского </w:t>
      </w:r>
      <w:r>
        <w:rPr>
          <w:sz w:val="24"/>
        </w:rPr>
        <w:t>сельского поселения</w:t>
      </w:r>
      <w:r>
        <w:rPr>
          <w:rFonts w:eastAsia="Times New Roman"/>
          <w:sz w:val="24"/>
          <w:lang w:eastAsia="ar-SA"/>
        </w:rPr>
        <w:t xml:space="preserve"> находится в пределах Средне-Сибирского плоскогорья и его южной окраины в виде Иркутско-Черемховской равнины. Южную часть территории </w:t>
      </w:r>
      <w:r>
        <w:rPr>
          <w:sz w:val="24"/>
        </w:rPr>
        <w:t>сельского поселения</w:t>
      </w:r>
      <w:r>
        <w:rPr>
          <w:rFonts w:eastAsia="Times New Roman"/>
          <w:sz w:val="24"/>
          <w:lang w:eastAsia="ar-SA"/>
        </w:rPr>
        <w:t xml:space="preserve"> занимают хребты Восточного Саяна, возвышающиеся на 1300м - 1700м; северную - Иркутско-Черемховская равнина с абсолютными отметками 500м - 600м.</w:t>
      </w:r>
    </w:p>
    <w:p>
      <w:pPr>
        <w:pStyle w:val="Style29"/>
        <w:spacing w:before="0" w:after="0"/>
        <w:rPr>
          <w:rFonts w:eastAsia="Times New Roman"/>
          <w:sz w:val="24"/>
          <w:lang w:eastAsia="ar-SA"/>
        </w:rPr>
      </w:pPr>
      <w:r>
        <w:rPr>
          <w:rFonts w:eastAsia="Times New Roman"/>
          <w:sz w:val="24"/>
          <w:lang w:eastAsia="ar-SA"/>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pPr>
        <w:pStyle w:val="Style29"/>
        <w:spacing w:before="0" w:after="0"/>
        <w:rPr>
          <w:rFonts w:eastAsia="Times New Roman"/>
          <w:sz w:val="24"/>
          <w:lang w:eastAsia="ar-SA"/>
        </w:rPr>
      </w:pPr>
      <w:r>
        <w:rPr>
          <w:rFonts w:eastAsia="Times New Roman"/>
          <w:sz w:val="24"/>
          <w:lang w:eastAsia="ar-SA"/>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pPr>
        <w:pStyle w:val="Style29"/>
        <w:spacing w:before="0" w:after="0"/>
        <w:rPr>
          <w:rFonts w:eastAsia="Times New Roman"/>
          <w:sz w:val="24"/>
          <w:lang w:eastAsia="ar-SA"/>
        </w:rPr>
      </w:pPr>
      <w:r>
        <w:rPr>
          <w:rFonts w:eastAsia="Times New Roman"/>
          <w:sz w:val="24"/>
          <w:lang w:eastAsia="ar-SA"/>
        </w:rPr>
        <w:t>В полосе низкогорья преобладают сглаженные вершинные поверхности, покрытые элювиально-делювиальными отложениями.</w:t>
      </w:r>
    </w:p>
    <w:p>
      <w:pPr>
        <w:pStyle w:val="Style29"/>
        <w:spacing w:before="0" w:after="0"/>
        <w:rPr>
          <w:rFonts w:eastAsia="Times New Roman"/>
          <w:sz w:val="24"/>
          <w:lang w:eastAsia="ar-SA"/>
        </w:rPr>
      </w:pPr>
      <w:r>
        <w:rPr>
          <w:rFonts w:eastAsia="Times New Roman"/>
          <w:sz w:val="24"/>
          <w:lang w:eastAsia="ar-SA"/>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pPr>
        <w:pStyle w:val="Style29"/>
        <w:spacing w:before="0" w:after="0"/>
        <w:rPr>
          <w:rFonts w:eastAsia="Times New Roman"/>
          <w:sz w:val="24"/>
          <w:lang w:eastAsia="ar-SA"/>
        </w:rPr>
      </w:pPr>
      <w:r>
        <w:rPr>
          <w:rFonts w:eastAsia="Times New Roman"/>
          <w:sz w:val="24"/>
          <w:lang w:eastAsia="ar-SA"/>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softHyphen/>
        <w:t>чество гравийно-галечного материала.</w:t>
      </w:r>
    </w:p>
    <w:p>
      <w:pPr>
        <w:pStyle w:val="Style29"/>
        <w:spacing w:before="0" w:after="0"/>
        <w:rPr>
          <w:rFonts w:eastAsia="Times New Roman"/>
          <w:sz w:val="24"/>
          <w:lang w:eastAsia="ar-SA"/>
        </w:rPr>
      </w:pPr>
      <w:r>
        <w:rPr>
          <w:rFonts w:eastAsia="Times New Roman"/>
          <w:sz w:val="24"/>
          <w:lang w:eastAsia="ar-SA"/>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2.1.4. Гидрогеологические условия</w:t>
      </w:r>
    </w:p>
    <w:p>
      <w:pPr>
        <w:pStyle w:val="Style29"/>
        <w:spacing w:before="0" w:after="0"/>
        <w:rPr>
          <w:b/>
          <w:b/>
          <w:sz w:val="24"/>
        </w:rPr>
      </w:pPr>
      <w:r>
        <w:rPr>
          <w:b/>
          <w:sz w:val="24"/>
        </w:rPr>
      </w:r>
    </w:p>
    <w:p>
      <w:pPr>
        <w:pStyle w:val="Style29"/>
        <w:spacing w:before="0" w:after="0"/>
        <w:rPr/>
      </w:pPr>
      <w:r>
        <w:rPr>
          <w:rFonts w:eastAsia="Times New Roman"/>
          <w:sz w:val="24"/>
          <w:lang w:eastAsia="ar-SA"/>
        </w:rPr>
        <w:t xml:space="preserve">Крупнейшей рекой Тулунского муниципального района является река Ия — левый приток Оки (бассейн </w:t>
      </w:r>
      <w:hyperlink r:id="rId10">
        <w:r>
          <w:rPr>
            <w:rStyle w:val="Style21"/>
            <w:rFonts w:eastAsia="Times New Roman"/>
            <w:sz w:val="24"/>
            <w:lang w:eastAsia="ar-SA"/>
          </w:rPr>
          <w:t>Ангары</w:t>
        </w:r>
      </w:hyperlink>
      <w:r>
        <w:rPr>
          <w:rFonts w:eastAsia="Times New Roman"/>
          <w:sz w:val="24"/>
          <w:lang w:eastAsia="ar-SA"/>
        </w:rPr>
        <w:t>). Длина ее составляет 486 км, площадь бассейна 18 100 км². Она берёт начало на северных склонах </w:t>
      </w:r>
      <w:hyperlink r:id="rId11">
        <w:r>
          <w:rPr>
            <w:rStyle w:val="Style21"/>
            <w:rFonts w:eastAsia="Times New Roman"/>
            <w:sz w:val="24"/>
            <w:lang w:eastAsia="ar-SA"/>
          </w:rPr>
          <w:t>Восточного Саяна</w:t>
        </w:r>
      </w:hyperlink>
      <w:r>
        <w:rPr>
          <w:rFonts w:eastAsia="Times New Roman"/>
          <w:sz w:val="24"/>
          <w:lang w:eastAsia="ar-SA"/>
        </w:rPr>
        <w:t>. В верховьях имеет горный характер, ниже долина реки расширяется, течение становится спокойным. Впадает в Окинский залив </w:t>
      </w:r>
      <w:hyperlink r:id="rId12">
        <w:r>
          <w:rPr>
            <w:rStyle w:val="Style21"/>
            <w:rFonts w:eastAsia="Times New Roman"/>
            <w:sz w:val="24"/>
            <w:lang w:eastAsia="ar-SA"/>
          </w:rPr>
          <w:t>Братского водохранилища</w:t>
        </w:r>
      </w:hyperlink>
      <w:r>
        <w:rPr>
          <w:rFonts w:eastAsia="Times New Roman"/>
          <w:sz w:val="24"/>
          <w:lang w:eastAsia="ar-SA"/>
        </w:rPr>
        <w:t>, подпор от которого распространяется на 320 км. Питание главным образом дождевое. Средний годовой расход воды у города </w:t>
      </w:r>
      <w:hyperlink r:id="rId13">
        <w:r>
          <w:rPr>
            <w:rStyle w:val="Style21"/>
            <w:rFonts w:eastAsia="Times New Roman"/>
            <w:sz w:val="24"/>
            <w:lang w:eastAsia="ar-SA"/>
          </w:rPr>
          <w:t>Тулун</w:t>
        </w:r>
      </w:hyperlink>
      <w:r>
        <w:rPr>
          <w:rFonts w:eastAsia="Times New Roman"/>
          <w:sz w:val="24"/>
          <w:lang w:eastAsia="ar-SA"/>
        </w:rPr>
        <w:t> (119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 </w:t>
      </w:r>
      <w:hyperlink r:id="rId14">
        <w:r>
          <w:rPr>
            <w:rStyle w:val="Style21"/>
            <w:rFonts w:eastAsia="Times New Roman"/>
            <w:sz w:val="24"/>
            <w:lang w:eastAsia="ar-SA"/>
          </w:rPr>
          <w:t>Кирей</w:t>
        </w:r>
      </w:hyperlink>
      <w:r>
        <w:rPr>
          <w:rFonts w:eastAsia="Times New Roman"/>
          <w:sz w:val="24"/>
          <w:lang w:eastAsia="ar-SA"/>
        </w:rPr>
        <w:t xml:space="preserve"> — справа; </w:t>
      </w:r>
      <w:hyperlink r:id="rId15">
        <w:r>
          <w:rPr>
            <w:rStyle w:val="Style21"/>
            <w:rFonts w:eastAsia="Times New Roman"/>
            <w:sz w:val="24"/>
            <w:lang w:eastAsia="ar-SA"/>
          </w:rPr>
          <w:t>Икей</w:t>
        </w:r>
      </w:hyperlink>
      <w:r>
        <w:rPr>
          <w:rFonts w:eastAsia="Times New Roman"/>
          <w:sz w:val="24"/>
          <w:lang w:eastAsia="ar-SA"/>
        </w:rPr>
        <w:t>, </w:t>
      </w:r>
      <w:hyperlink r:id="rId16">
        <w:r>
          <w:rPr>
            <w:rStyle w:val="Style21"/>
            <w:rFonts w:eastAsia="Times New Roman"/>
            <w:sz w:val="24"/>
            <w:lang w:eastAsia="ar-SA"/>
          </w:rPr>
          <w:t>Илир</w:t>
        </w:r>
      </w:hyperlink>
      <w:r>
        <w:rPr>
          <w:rFonts w:eastAsia="Times New Roman"/>
          <w:sz w:val="24"/>
          <w:lang w:eastAsia="ar-SA"/>
        </w:rPr>
        <w:t> — слева.</w:t>
      </w:r>
    </w:p>
    <w:p>
      <w:pPr>
        <w:pStyle w:val="Style29"/>
        <w:spacing w:before="0" w:after="0"/>
        <w:rPr>
          <w:rFonts w:eastAsia="Times New Roman"/>
          <w:sz w:val="24"/>
          <w:lang w:eastAsia="ar-SA"/>
        </w:rPr>
      </w:pPr>
      <w:r>
        <w:rPr>
          <w:rFonts w:eastAsia="Times New Roman"/>
          <w:sz w:val="24"/>
          <w:lang w:eastAsia="ar-SA"/>
        </w:rPr>
        <w:t xml:space="preserve">Земли водного фонда Азейского </w:t>
      </w:r>
      <w:r>
        <w:rPr>
          <w:sz w:val="24"/>
        </w:rPr>
        <w:t xml:space="preserve">сельского поселения </w:t>
      </w:r>
      <w:r>
        <w:rPr>
          <w:rFonts w:eastAsia="Times New Roman"/>
          <w:sz w:val="24"/>
          <w:lang w:eastAsia="ar-SA"/>
        </w:rPr>
        <w:t>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pPr>
        <w:pStyle w:val="Style29"/>
        <w:spacing w:before="0" w:after="0"/>
        <w:rPr>
          <w:rFonts w:eastAsia="Times New Roman"/>
          <w:sz w:val="24"/>
          <w:lang w:eastAsia="ar-SA"/>
        </w:rPr>
      </w:pPr>
      <w:r>
        <w:rPr>
          <w:rFonts w:eastAsia="Times New Roman"/>
          <w:sz w:val="24"/>
          <w:lang w:eastAsia="ar-SA"/>
        </w:rPr>
      </w:r>
    </w:p>
    <w:p>
      <w:pPr>
        <w:pStyle w:val="Normal"/>
        <w:spacing w:lineRule="auto" w:line="240" w:before="0" w:after="0"/>
        <w:ind w:firstLine="567"/>
        <w:rPr>
          <w:rFonts w:ascii="Times New Roman" w:hAnsi="Times New Roman" w:eastAsia="Times New Roman" w:cs="Calibri"/>
          <w:bCs/>
          <w:sz w:val="24"/>
          <w:szCs w:val="24"/>
          <w:lang w:eastAsia="ar-SA"/>
        </w:rPr>
      </w:pPr>
      <w:r>
        <w:rPr>
          <w:rFonts w:eastAsia="Times New Roman" w:cs="Calibri" w:ascii="Times New Roman" w:hAnsi="Times New Roman"/>
          <w:bCs/>
          <w:sz w:val="24"/>
          <w:szCs w:val="24"/>
          <w:lang w:eastAsia="ar-SA"/>
        </w:rPr>
        <w:t>Таблица 2.1 – Характеристика водных объектов</w:t>
      </w:r>
    </w:p>
    <w:p>
      <w:pPr>
        <w:pStyle w:val="Normal"/>
        <w:spacing w:lineRule="auto" w:line="240" w:before="0" w:after="0"/>
        <w:ind w:firstLine="567"/>
        <w:rPr>
          <w:rFonts w:ascii="Times New Roman" w:hAnsi="Times New Roman" w:eastAsia="Times New Roman" w:cs="Calibri"/>
          <w:b/>
          <w:b/>
          <w:bCs/>
          <w:sz w:val="24"/>
          <w:szCs w:val="24"/>
          <w:lang w:eastAsia="ar-SA"/>
        </w:rPr>
      </w:pPr>
      <w:r>
        <w:rPr>
          <w:rFonts w:eastAsia="Times New Roman" w:cs="Calibri" w:ascii="Times New Roman" w:hAnsi="Times New Roman"/>
          <w:b/>
          <w:bCs/>
          <w:sz w:val="24"/>
          <w:szCs w:val="24"/>
          <w:lang w:eastAsia="ar-SA"/>
        </w:rPr>
      </w:r>
    </w:p>
    <w:tbl>
      <w:tblPr>
        <w:tblW w:w="937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708"/>
        <w:gridCol w:w="2410"/>
        <w:gridCol w:w="3544"/>
        <w:gridCol w:w="2713"/>
      </w:tblGrid>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 xml:space="preserve">№ </w:t>
            </w:r>
            <w:r>
              <w:rPr>
                <w:rFonts w:eastAsia="Times New Roman" w:cs="Calibri" w:ascii="Times New Roman" w:hAnsi="Times New Roman"/>
                <w:b/>
                <w:sz w:val="24"/>
                <w:szCs w:val="24"/>
                <w:lang w:eastAsia="ar-SA"/>
              </w:rPr>
              <w:t>п/п</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Наименование объекта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Протяженность (км)</w:t>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Площадь (кв. км)</w:t>
            </w:r>
          </w:p>
        </w:tc>
      </w:tr>
      <w:tr>
        <w:trPr>
          <w:trHeight w:val="419" w:hRule="atLeast"/>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Ия</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1,22</w:t>
            </w:r>
          </w:p>
        </w:tc>
      </w:tr>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Азейка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0,06</w:t>
            </w:r>
          </w:p>
        </w:tc>
      </w:tr>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Нюра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6,349</w:t>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r>
      <w:tr>
        <w:trPr>
          <w:trHeight w:val="330" w:hRule="atLeast"/>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Прочие</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val="en-US" w:eastAsia="ar-SA"/>
              </w:rPr>
            </w:pPr>
            <w:r>
              <w:rPr>
                <w:rFonts w:eastAsia="Times New Roman" w:cs="Calibri" w:ascii="Times New Roman" w:hAnsi="Times New Roman"/>
                <w:sz w:val="24"/>
                <w:szCs w:val="24"/>
                <w:lang w:val="en-US" w:eastAsia="ar-SA"/>
              </w:rPr>
              <w:t>2.74</w:t>
            </w:r>
          </w:p>
        </w:tc>
      </w:tr>
    </w:tbl>
    <w:p>
      <w:pPr>
        <w:pStyle w:val="Style29"/>
        <w:spacing w:before="0" w:after="0"/>
        <w:rPr>
          <w:rFonts w:eastAsia="Times New Roman"/>
          <w:sz w:val="24"/>
          <w:lang w:eastAsia="ar-SA"/>
        </w:rPr>
      </w:pPr>
      <w:bookmarkStart w:id="42" w:name="page107"/>
      <w:bookmarkStart w:id="43" w:name="page107"/>
      <w:bookmarkEnd w:id="43"/>
      <w:r>
        <w:rPr>
          <w:rFonts w:eastAsia="Times New Roman"/>
          <w:sz w:val="24"/>
          <w:lang w:eastAsia="ar-SA"/>
        </w:rPr>
      </w:r>
    </w:p>
    <w:p>
      <w:pPr>
        <w:pStyle w:val="Style29"/>
        <w:spacing w:before="0" w:after="0"/>
        <w:rPr>
          <w:b/>
          <w:b/>
          <w:sz w:val="24"/>
        </w:rPr>
      </w:pPr>
      <w:r>
        <w:rPr>
          <w:rFonts w:eastAsia="Times New Roman"/>
          <w:b/>
          <w:sz w:val="24"/>
          <w:lang w:eastAsia="ar-SA"/>
        </w:rPr>
        <w:t>2.</w:t>
      </w:r>
      <w:r>
        <w:rPr>
          <w:b/>
          <w:sz w:val="24"/>
        </w:rPr>
        <w:t>1.5.  Почвы, растительность и животный мир</w:t>
      </w:r>
    </w:p>
    <w:p>
      <w:pPr>
        <w:pStyle w:val="Style29"/>
        <w:spacing w:before="0" w:after="0"/>
        <w:rPr>
          <w:b/>
          <w:b/>
          <w:sz w:val="24"/>
        </w:rPr>
      </w:pPr>
      <w:r>
        <w:rPr>
          <w:b/>
          <w:sz w:val="24"/>
        </w:rPr>
      </w:r>
    </w:p>
    <w:p>
      <w:pPr>
        <w:pStyle w:val="Style29"/>
        <w:spacing w:before="0" w:after="0"/>
        <w:rPr>
          <w:rFonts w:eastAsia="Times New Roman"/>
          <w:sz w:val="24"/>
          <w:lang w:eastAsia="ar-SA"/>
        </w:rPr>
      </w:pPr>
      <w:r>
        <w:rPr>
          <w:sz w:val="24"/>
        </w:rPr>
        <w:t>Формирование почвенного покрова Азейского сельского поселения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r>
        <w:rPr>
          <w:rFonts w:eastAsia="Times New Roman"/>
          <w:sz w:val="24"/>
          <w:lang w:eastAsia="ar-SA"/>
        </w:rPr>
        <w:t>.</w:t>
      </w:r>
    </w:p>
    <w:p>
      <w:pPr>
        <w:pStyle w:val="Style29"/>
        <w:spacing w:before="0" w:after="0"/>
        <w:rPr>
          <w:rFonts w:eastAsia="Times New Roman"/>
          <w:sz w:val="24"/>
          <w:lang w:eastAsia="ar-SA"/>
        </w:rPr>
      </w:pPr>
      <w:r>
        <w:rPr>
          <w:rFonts w:eastAsia="Times New Roman"/>
          <w:sz w:val="24"/>
          <w:lang w:eastAsia="ar-SA"/>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pPr>
        <w:pStyle w:val="Style29"/>
        <w:spacing w:before="0" w:after="0"/>
        <w:rPr>
          <w:rFonts w:eastAsia="Times New Roman"/>
          <w:sz w:val="24"/>
          <w:lang w:eastAsia="ar-SA"/>
        </w:rPr>
      </w:pPr>
      <w:r>
        <w:rPr>
          <w:rFonts w:eastAsia="Times New Roman"/>
          <w:sz w:val="24"/>
          <w:lang w:eastAsia="ar-SA"/>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softHyphen/>
        <w:t>рас, в сухих ложбинах развиты сезонно-мерзлотные лугово-черноземные почвы. Они образуют сложные комплексы внутренних дельт.</w:t>
      </w:r>
    </w:p>
    <w:p>
      <w:pPr>
        <w:pStyle w:val="Style29"/>
        <w:spacing w:before="0" w:after="0"/>
        <w:rPr>
          <w:rFonts w:eastAsia="Times New Roman"/>
          <w:sz w:val="24"/>
          <w:lang w:eastAsia="ar-SA"/>
        </w:rPr>
      </w:pPr>
      <w:r>
        <w:rPr>
          <w:rFonts w:eastAsia="Times New Roman"/>
          <w:sz w:val="24"/>
          <w:lang w:eastAsia="ar-SA"/>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 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pPr>
        <w:pStyle w:val="Style29"/>
        <w:spacing w:before="0" w:after="0"/>
        <w:rPr>
          <w:rFonts w:eastAsia="Times New Roman"/>
          <w:sz w:val="24"/>
          <w:lang w:eastAsia="ar-SA"/>
        </w:rPr>
      </w:pPr>
      <w:r>
        <w:rPr>
          <w:rFonts w:eastAsia="Times New Roman"/>
          <w:sz w:val="24"/>
          <w:lang w:eastAsia="ar-SA"/>
        </w:rPr>
        <w:t xml:space="preserve">В Азейском </w:t>
      </w:r>
      <w:r>
        <w:rPr>
          <w:sz w:val="24"/>
        </w:rPr>
        <w:t xml:space="preserve">сельском поселении </w:t>
      </w:r>
      <w:r>
        <w:rPr>
          <w:rFonts w:eastAsia="Times New Roman"/>
          <w:sz w:val="24"/>
          <w:lang w:eastAsia="ar-SA"/>
        </w:rPr>
        <w:t>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pPr>
        <w:pStyle w:val="Style29"/>
        <w:spacing w:before="0" w:after="0"/>
        <w:rPr>
          <w:rFonts w:eastAsia="Times New Roman"/>
          <w:sz w:val="24"/>
          <w:lang w:eastAsia="ar-SA"/>
        </w:rPr>
      </w:pPr>
      <w:r>
        <w:rPr>
          <w:rFonts w:eastAsia="Times New Roman"/>
          <w:iCs/>
          <w:sz w:val="24"/>
          <w:lang w:eastAsia="ar-SA"/>
        </w:rPr>
        <w:t xml:space="preserve">На </w:t>
      </w:r>
      <w:r>
        <w:rPr>
          <w:rFonts w:eastAsia="Times New Roman"/>
          <w:sz w:val="24"/>
          <w:lang w:eastAsia="ar-SA"/>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Pr>
          <w:rFonts w:eastAsia="Times New Roman"/>
          <w:iCs/>
          <w:sz w:val="24"/>
          <w:lang w:eastAsia="ar-SA"/>
        </w:rPr>
        <w:t xml:space="preserve">не развит, а в </w:t>
      </w:r>
      <w:r>
        <w:rPr>
          <w:rFonts w:eastAsia="Times New Roman"/>
          <w:sz w:val="24"/>
          <w:lang w:eastAsia="ar-SA"/>
        </w:rPr>
        <w:t>травяно-кустарничковом покрове доми</w:t>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pPr>
        <w:pStyle w:val="Style29"/>
        <w:spacing w:before="0" w:after="0"/>
        <w:rPr>
          <w:rFonts w:eastAsia="Times New Roman"/>
          <w:sz w:val="24"/>
          <w:lang w:eastAsia="ar-SA"/>
        </w:rPr>
      </w:pPr>
      <w:r>
        <w:rPr>
          <w:rFonts w:eastAsia="Times New Roman"/>
          <w:sz w:val="24"/>
          <w:lang w:eastAsia="ar-SA"/>
        </w:rPr>
        <w:t>Залесенные участки Иркутско-Черемховской равнины имеют важное почвозащитное и водоохранное значение.</w:t>
      </w:r>
    </w:p>
    <w:p>
      <w:pPr>
        <w:pStyle w:val="Style29"/>
        <w:spacing w:before="0" w:after="0"/>
        <w:rPr>
          <w:rFonts w:eastAsia="Times New Roman"/>
          <w:sz w:val="24"/>
          <w:lang w:eastAsia="ar-SA"/>
        </w:rPr>
      </w:pPr>
      <w:r>
        <w:rPr>
          <w:rFonts w:eastAsia="Times New Roman"/>
          <w:sz w:val="24"/>
          <w:lang w:eastAsia="ar-SA"/>
        </w:rPr>
        <w:t xml:space="preserve">Животный мир Азейского </w:t>
      </w:r>
      <w:r>
        <w:rPr>
          <w:sz w:val="24"/>
        </w:rPr>
        <w:t xml:space="preserve">сельского поселения </w:t>
      </w:r>
      <w:r>
        <w:rPr>
          <w:rFonts w:eastAsia="Times New Roman"/>
          <w:sz w:val="24"/>
          <w:lang w:eastAsia="ar-SA"/>
        </w:rPr>
        <w:t>довольно разнообразен. Здесь обитают тетерев, кряква, филин, а также различные виды млекопитающих.</w:t>
      </w:r>
    </w:p>
    <w:p>
      <w:pPr>
        <w:pStyle w:val="Style29"/>
        <w:spacing w:before="0" w:after="0"/>
        <w:rPr>
          <w:b/>
          <w:b/>
          <w:sz w:val="24"/>
        </w:rPr>
      </w:pPr>
      <w:r>
        <w:rPr>
          <w:b/>
          <w:sz w:val="24"/>
        </w:rPr>
      </w:r>
    </w:p>
    <w:p>
      <w:pPr>
        <w:pStyle w:val="Style29"/>
        <w:spacing w:before="0" w:after="0"/>
        <w:rPr>
          <w:b/>
          <w:b/>
          <w:sz w:val="24"/>
        </w:rPr>
      </w:pPr>
      <w:r>
        <w:rPr>
          <w:b/>
          <w:sz w:val="24"/>
        </w:rPr>
        <w:t>2.1.6. Демографическая ситуация в сельском поселении Азей</w:t>
      </w:r>
    </w:p>
    <w:p>
      <w:pPr>
        <w:pStyle w:val="Style29"/>
        <w:spacing w:before="0" w:after="0"/>
        <w:rPr>
          <w:b/>
          <w:b/>
          <w:sz w:val="24"/>
        </w:rPr>
      </w:pPr>
      <w:r>
        <w:rPr>
          <w:b/>
          <w:sz w:val="24"/>
        </w:rPr>
      </w:r>
    </w:p>
    <w:p>
      <w:pPr>
        <w:pStyle w:val="Style29"/>
        <w:spacing w:before="0" w:after="0"/>
        <w:rPr>
          <w:rFonts w:eastAsia="Times New Roman"/>
          <w:sz w:val="24"/>
          <w:lang w:eastAsia="ar-SA"/>
        </w:rPr>
      </w:pPr>
      <w:r>
        <w:rPr>
          <w:rFonts w:eastAsia="Times New Roman"/>
          <w:sz w:val="24"/>
          <w:lang w:eastAsia="ar-SA"/>
        </w:rPr>
        <w:t xml:space="preserve">Численность постоянного населения Азейского </w:t>
      </w:r>
      <w:r>
        <w:rPr>
          <w:sz w:val="24"/>
        </w:rPr>
        <w:t xml:space="preserve">сельского поселения </w:t>
      </w:r>
      <w:r>
        <w:rPr>
          <w:rFonts w:eastAsia="Times New Roman"/>
          <w:sz w:val="24"/>
          <w:lang w:eastAsia="ar-SA"/>
        </w:rPr>
        <w:t xml:space="preserve">и населенных пунктов, входящих в его состав, приведена в соответствии с окончательными итогами Всероссийской переписи согласно данным Иркутскстата на 1 января 2018 года. </w:t>
      </w:r>
    </w:p>
    <w:p>
      <w:pPr>
        <w:pStyle w:val="Style29"/>
        <w:spacing w:before="0" w:after="0"/>
        <w:rPr>
          <w:rFonts w:eastAsia="Times New Roman"/>
          <w:sz w:val="24"/>
          <w:lang w:eastAsia="ar-SA"/>
        </w:rPr>
      </w:pPr>
      <w:r>
        <w:rPr>
          <w:rFonts w:eastAsia="Times New Roman"/>
          <w:sz w:val="24"/>
          <w:lang w:eastAsia="ar-SA"/>
        </w:rPr>
        <w:t xml:space="preserve">Численность населения Азейского </w:t>
      </w:r>
      <w:r>
        <w:rPr>
          <w:sz w:val="24"/>
        </w:rPr>
        <w:t xml:space="preserve">сельского поселения </w:t>
      </w:r>
      <w:r>
        <w:rPr>
          <w:rFonts w:eastAsia="Times New Roman"/>
          <w:sz w:val="24"/>
          <w:lang w:eastAsia="ar-SA"/>
        </w:rPr>
        <w:t>на 01.01.2018 г. составила 732 человека, что соответствует примерно 2,6 % от общей численности населения Тулунского района. Плотность населения 6,05 чел /кв. км.</w:t>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sz w:val="24"/>
          <w:lang w:eastAsia="ar-SA"/>
        </w:rPr>
      </w:pPr>
      <w:r>
        <w:rPr>
          <w:rFonts w:eastAsia="Times New Roman"/>
          <w:sz w:val="24"/>
          <w:lang w:eastAsia="ar-SA"/>
        </w:rPr>
        <w:t>Таблица 2.2. – Основные характеристики расселения Азейского сельского поселения</w:t>
      </w:r>
    </w:p>
    <w:p>
      <w:pPr>
        <w:pStyle w:val="Style29"/>
        <w:spacing w:before="0" w:after="0"/>
        <w:rPr>
          <w:rFonts w:eastAsia="Times New Roman"/>
          <w:sz w:val="24"/>
          <w:lang w:eastAsia="ar-SA"/>
        </w:rPr>
      </w:pPr>
      <w:r>
        <w:rPr>
          <w:rFonts w:eastAsia="Times New Roman"/>
          <w:sz w:val="24"/>
          <w:lang w:eastAsia="ar-SA"/>
        </w:rPr>
      </w:r>
    </w:p>
    <w:tbl>
      <w:tblPr>
        <w:tblW w:w="9922"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30"/>
        <w:gridCol w:w="2446"/>
        <w:gridCol w:w="1701"/>
        <w:gridCol w:w="2126"/>
        <w:gridCol w:w="1435"/>
        <w:gridCol w:w="1683"/>
      </w:tblGrid>
      <w:tr>
        <w:trPr/>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 xml:space="preserve">№ </w:t>
            </w:r>
            <w:r>
              <w:rPr>
                <w:rFonts w:eastAsia="Calibri" w:cs="Calibri" w:ascii="Times New Roman" w:hAnsi="Times New Roman"/>
                <w:b/>
                <w:sz w:val="24"/>
                <w:szCs w:val="24"/>
                <w:lang w:eastAsia="ar-SA"/>
              </w:rPr>
              <w:t>п/п</w:t>
            </w:r>
          </w:p>
        </w:tc>
        <w:tc>
          <w:tcPr>
            <w:tcW w:w="244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ind w:firstLine="33"/>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Муниципальные образования</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Численность постоянного населения, чел.</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Площадь муниципального образования, кв. км</w:t>
            </w:r>
          </w:p>
        </w:tc>
        <w:tc>
          <w:tcPr>
            <w:tcW w:w="14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Плотность населения чел./кв. км</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ind w:firstLine="31"/>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Количество населенных пунктов</w:t>
            </w:r>
          </w:p>
        </w:tc>
      </w:tr>
      <w:tr>
        <w:trPr/>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numPr>
                <w:ilvl w:val="0"/>
                <w:numId w:val="4"/>
              </w:numPr>
              <w:snapToGrid w:val="false"/>
              <w:spacing w:lineRule="auto" w:line="240" w:before="0" w:after="0"/>
              <w:ind w:left="0" w:firstLine="72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r>
          </w:p>
        </w:tc>
        <w:tc>
          <w:tcPr>
            <w:tcW w:w="244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ind w:firstLine="33"/>
              <w:jc w:val="both"/>
              <w:rPr>
                <w:rFonts w:ascii="Times New Roman" w:hAnsi="Times New Roman" w:eastAsia="Calibri" w:cs="Calibri"/>
                <w:bCs/>
                <w:sz w:val="24"/>
                <w:szCs w:val="24"/>
                <w:lang w:eastAsia="ar-SA"/>
              </w:rPr>
            </w:pPr>
            <w:r>
              <w:rPr>
                <w:rFonts w:eastAsia="Calibri" w:cs="Calibri" w:ascii="Times New Roman" w:hAnsi="Times New Roman"/>
                <w:bCs/>
                <w:sz w:val="24"/>
                <w:szCs w:val="24"/>
                <w:lang w:eastAsia="ar-SA"/>
              </w:rPr>
              <w:t>Азейское</w:t>
            </w:r>
          </w:p>
          <w:p>
            <w:pPr>
              <w:pStyle w:val="Normal"/>
              <w:spacing w:lineRule="auto" w:line="240" w:before="0" w:after="0"/>
              <w:ind w:firstLine="33"/>
              <w:jc w:val="both"/>
              <w:rPr>
                <w:rFonts w:ascii="Times New Roman" w:hAnsi="Times New Roman" w:eastAsia="Calibri" w:cs="Calibri"/>
                <w:bCs/>
                <w:sz w:val="24"/>
                <w:szCs w:val="24"/>
                <w:lang w:eastAsia="ar-SA"/>
              </w:rPr>
            </w:pPr>
            <w:r>
              <w:rPr>
                <w:rFonts w:eastAsia="Calibri" w:cs="Calibri" w:ascii="Times New Roman" w:hAnsi="Times New Roman"/>
                <w:bCs/>
                <w:sz w:val="24"/>
                <w:szCs w:val="24"/>
                <w:lang w:eastAsia="ar-SA"/>
              </w:rPr>
              <w:t>сельское поселение</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732</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121</w:t>
            </w:r>
          </w:p>
        </w:tc>
        <w:tc>
          <w:tcPr>
            <w:tcW w:w="14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6,05</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ind w:firstLine="31"/>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2</w:t>
            </w:r>
          </w:p>
        </w:tc>
      </w:tr>
    </w:tbl>
    <w:p>
      <w:pPr>
        <w:pStyle w:val="Normal"/>
        <w:shd w:val="clear" w:color="auto" w:fill="FFFFFF"/>
        <w:spacing w:lineRule="auto" w:line="240" w:before="0" w:after="0"/>
        <w:ind w:firstLine="72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Style29"/>
        <w:spacing w:before="0" w:after="0"/>
        <w:rPr>
          <w:sz w:val="24"/>
        </w:rPr>
      </w:pPr>
      <w:r>
        <w:rPr>
          <w:rFonts w:eastAsia="Times New Roman"/>
          <w:sz w:val="24"/>
          <w:lang w:eastAsia="ar-SA"/>
        </w:rPr>
        <w:t xml:space="preserve">Таблица 2.3 – Численность населения по населенным пунктам Азейского </w:t>
      </w:r>
      <w:r>
        <w:rPr>
          <w:sz w:val="24"/>
        </w:rPr>
        <w:t>сельского поселения</w:t>
      </w:r>
    </w:p>
    <w:p>
      <w:pPr>
        <w:pStyle w:val="Style29"/>
        <w:spacing w:before="0" w:after="0"/>
        <w:rPr>
          <w:rFonts w:eastAsia="Times New Roman"/>
          <w:sz w:val="24"/>
          <w:lang w:eastAsia="ar-SA"/>
        </w:rPr>
      </w:pPr>
      <w:r>
        <w:rPr>
          <w:rFonts w:eastAsia="Times New Roman"/>
          <w:sz w:val="24"/>
          <w:lang w:eastAsia="ar-SA"/>
        </w:rPr>
      </w:r>
    </w:p>
    <w:tbl>
      <w:tblPr>
        <w:tblW w:w="992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401"/>
        <w:gridCol w:w="2269"/>
        <w:gridCol w:w="2127"/>
        <w:gridCol w:w="2125"/>
      </w:tblGrid>
      <w:tr>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Показатель</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с. Азей</w:t>
            </w:r>
          </w:p>
        </w:tc>
        <w:tc>
          <w:tcPr>
            <w:tcW w:w="21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д. Нюра</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Итого</w:t>
            </w:r>
          </w:p>
        </w:tc>
      </w:tr>
      <w:tr>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Численность населения, чел</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702</w:t>
            </w:r>
          </w:p>
        </w:tc>
        <w:tc>
          <w:tcPr>
            <w:tcW w:w="21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30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732</w:t>
            </w:r>
          </w:p>
        </w:tc>
      </w:tr>
    </w:tbl>
    <w:p>
      <w:pPr>
        <w:pStyle w:val="Normal"/>
        <w:spacing w:lineRule="auto" w:line="240" w:before="0" w:after="0"/>
        <w:ind w:firstLine="708"/>
        <w:jc w:val="both"/>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Style29"/>
        <w:spacing w:before="0" w:after="0"/>
        <w:rPr>
          <w:rFonts w:eastAsia="Times New Roman"/>
          <w:sz w:val="24"/>
          <w:lang w:eastAsia="ar-SA"/>
        </w:rPr>
      </w:pPr>
      <w:r>
        <w:rPr>
          <w:rFonts w:eastAsia="Times New Roman"/>
          <w:sz w:val="24"/>
          <w:lang w:eastAsia="ar-SA"/>
        </w:rPr>
        <w:t xml:space="preserve">Демографическая ситуация в Азейском </w:t>
      </w:r>
      <w:r>
        <w:rPr>
          <w:sz w:val="24"/>
        </w:rPr>
        <w:t xml:space="preserve">сельском поселении </w:t>
      </w:r>
      <w:r>
        <w:rPr>
          <w:rFonts w:eastAsia="Times New Roman"/>
          <w:sz w:val="24"/>
          <w:lang w:eastAsia="ar-SA"/>
        </w:rPr>
        <w:t>характеризуется сокращением численности населения.</w:t>
      </w:r>
    </w:p>
    <w:p>
      <w:pPr>
        <w:pStyle w:val="Style29"/>
        <w:spacing w:before="0" w:after="0"/>
        <w:rPr>
          <w:rFonts w:eastAsia="Times New Roman"/>
          <w:sz w:val="24"/>
          <w:lang w:eastAsia="ar-SA"/>
        </w:rPr>
      </w:pPr>
      <w:r>
        <w:rPr>
          <w:rFonts w:eastAsia="Times New Roman"/>
          <w:sz w:val="24"/>
          <w:lang w:eastAsia="ar-SA"/>
        </w:rPr>
        <w:t xml:space="preserve">Основным фактором сокращения является миграция населения.  </w:t>
      </w:r>
    </w:p>
    <w:p>
      <w:pPr>
        <w:pStyle w:val="Style29"/>
        <w:spacing w:before="0" w:after="0"/>
        <w:rPr>
          <w:rFonts w:eastAsia="Times New Roman"/>
          <w:sz w:val="24"/>
          <w:lang w:eastAsia="ar-SA"/>
        </w:rPr>
      </w:pPr>
      <w:r>
        <w:rPr>
          <w:rFonts w:eastAsia="Times New Roman"/>
          <w:sz w:val="24"/>
          <w:lang w:eastAsia="ar-S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pPr>
        <w:pStyle w:val="Style29"/>
        <w:spacing w:before="0" w:after="0"/>
        <w:rPr>
          <w:sz w:val="24"/>
        </w:rPr>
      </w:pPr>
      <w:r>
        <w:rPr>
          <w:sz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pPr>
        <w:pStyle w:val="Style29"/>
        <w:spacing w:before="0" w:after="0"/>
        <w:rPr>
          <w:sz w:val="24"/>
        </w:rPr>
      </w:pPr>
      <w:r>
        <w:rPr>
          <w:sz w:val="24"/>
        </w:rPr>
        <w:t xml:space="preserve">Прогнозирование численности населения Азейского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pPr>
        <w:pStyle w:val="Style29"/>
        <w:spacing w:before="0" w:after="0"/>
        <w:rPr>
          <w:rFonts w:eastAsia="Times New Roman"/>
          <w:sz w:val="24"/>
          <w:lang w:eastAsia="ar-SA"/>
        </w:rPr>
      </w:pPr>
      <w:r>
        <w:rPr>
          <w:sz w:val="24"/>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b/>
          <w:b/>
          <w:sz w:val="24"/>
          <w:lang w:eastAsia="ar-SA"/>
        </w:rPr>
      </w:pPr>
      <w:r>
        <w:rPr>
          <w:rFonts w:eastAsia="Times New Roman"/>
          <w:b/>
          <w:sz w:val="24"/>
          <w:lang w:eastAsia="ar-SA"/>
        </w:rPr>
        <w:t>2.1.7. Прогноз проектной численности населения</w:t>
      </w:r>
    </w:p>
    <w:p>
      <w:pPr>
        <w:pStyle w:val="Style29"/>
        <w:spacing w:before="0" w:after="0"/>
        <w:rPr>
          <w:rFonts w:eastAsia="Times New Roman"/>
          <w:b/>
          <w:b/>
          <w:sz w:val="24"/>
          <w:lang w:eastAsia="ar-SA"/>
        </w:rPr>
      </w:pPr>
      <w:r>
        <w:rPr>
          <w:rFonts w:eastAsia="Times New Roman"/>
          <w:b/>
          <w:sz w:val="24"/>
          <w:lang w:eastAsia="ar-SA"/>
        </w:rPr>
      </w:r>
    </w:p>
    <w:p>
      <w:pPr>
        <w:pStyle w:val="Style29"/>
        <w:spacing w:before="0" w:after="0"/>
        <w:rPr>
          <w:rFonts w:eastAsia="Times New Roman"/>
          <w:sz w:val="24"/>
          <w:lang w:eastAsia="ar-SA"/>
        </w:rPr>
      </w:pPr>
      <w:r>
        <w:rPr>
          <w:rFonts w:eastAsia="Times New Roman"/>
          <w:sz w:val="24"/>
          <w:lang w:eastAsia="ar-SA"/>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pPr>
        <w:pStyle w:val="Style29"/>
        <w:spacing w:before="0" w:after="0"/>
        <w:rPr>
          <w:rFonts w:eastAsia="Times New Roman"/>
          <w:sz w:val="24"/>
          <w:lang w:eastAsia="ar-SA"/>
        </w:rPr>
      </w:pPr>
      <w:r>
        <w:rPr>
          <w:rFonts w:eastAsia="Times New Roman"/>
          <w:sz w:val="24"/>
          <w:lang w:eastAsia="ar-SA"/>
        </w:rPr>
        <w:t>Расчет численности населения проводится по коэффициенту естественного роста с учетом  предпосылок демографического роста и миграции.</w:t>
      </w:r>
    </w:p>
    <w:p>
      <w:pPr>
        <w:pStyle w:val="Style29"/>
        <w:spacing w:before="0" w:after="0"/>
        <w:rPr>
          <w:rFonts w:eastAsia="Times New Roman"/>
          <w:sz w:val="24"/>
          <w:lang w:eastAsia="ar-SA"/>
        </w:rPr>
      </w:pPr>
      <w:r>
        <w:rPr>
          <w:rFonts w:eastAsia="Times New Roman"/>
          <w:sz w:val="24"/>
          <w:lang w:eastAsia="ar-SA"/>
        </w:rPr>
        <w:t xml:space="preserve">Н = </w:t>
      </w:r>
      <w:r>
        <w:rPr>
          <w:rFonts w:eastAsia="Times New Roman"/>
          <w:sz w:val="24"/>
          <w:lang w:val="en-US" w:eastAsia="ar-SA"/>
        </w:rPr>
        <w:t>N</w:t>
      </w:r>
      <w:r>
        <w:rPr>
          <w:rFonts w:eastAsia="Times New Roman"/>
          <w:sz w:val="24"/>
          <w:lang w:eastAsia="ar-SA"/>
        </w:rPr>
        <w:t>* (1 + n / 100)</w:t>
      </w:r>
      <w:r>
        <w:rPr>
          <w:rFonts w:eastAsia="Times New Roman"/>
          <w:sz w:val="24"/>
          <w:vertAlign w:val="superscript"/>
          <w:lang w:eastAsia="ar-SA"/>
        </w:rPr>
        <w:t>Т</w:t>
      </w:r>
      <w:r>
        <w:rPr>
          <w:rFonts w:eastAsia="Times New Roman"/>
          <w:sz w:val="24"/>
          <w:lang w:eastAsia="ar-SA"/>
        </w:rPr>
        <w:t>, где</w:t>
      </w:r>
    </w:p>
    <w:p>
      <w:pPr>
        <w:pStyle w:val="Style29"/>
        <w:spacing w:before="0" w:after="0"/>
        <w:rPr>
          <w:rFonts w:eastAsia="Times New Roman"/>
          <w:sz w:val="24"/>
          <w:lang w:eastAsia="ar-SA"/>
        </w:rPr>
      </w:pPr>
      <w:r>
        <w:rPr>
          <w:rFonts w:eastAsia="Times New Roman"/>
          <w:sz w:val="24"/>
          <w:lang w:eastAsia="ar-SA"/>
        </w:rPr>
        <w:t>Н – расчетная численность населения;</w:t>
      </w:r>
    </w:p>
    <w:p>
      <w:pPr>
        <w:pStyle w:val="Style29"/>
        <w:spacing w:before="0" w:after="0"/>
        <w:rPr>
          <w:rFonts w:eastAsia="Times New Roman"/>
          <w:sz w:val="24"/>
          <w:lang w:eastAsia="ar-SA"/>
        </w:rPr>
      </w:pPr>
      <w:r>
        <w:rPr>
          <w:rFonts w:eastAsia="Times New Roman"/>
          <w:sz w:val="24"/>
          <w:lang w:val="en-US" w:eastAsia="ar-SA"/>
        </w:rPr>
        <w:t>N</w:t>
      </w:r>
      <w:r>
        <w:rPr>
          <w:rFonts w:eastAsia="Times New Roman"/>
          <w:sz w:val="24"/>
          <w:lang w:eastAsia="ar-SA"/>
        </w:rPr>
        <w:t xml:space="preserve"> – численность населения существующая;</w:t>
      </w:r>
    </w:p>
    <w:p>
      <w:pPr>
        <w:pStyle w:val="Style29"/>
        <w:spacing w:before="0" w:after="0"/>
        <w:rPr>
          <w:rFonts w:eastAsia="Times New Roman"/>
          <w:sz w:val="24"/>
          <w:lang w:eastAsia="ar-SA"/>
        </w:rPr>
      </w:pPr>
      <w:r>
        <w:rPr>
          <w:rFonts w:eastAsia="Times New Roman"/>
          <w:sz w:val="24"/>
          <w:lang w:val="en-US" w:eastAsia="ar-SA"/>
        </w:rPr>
        <w:t>n</w:t>
      </w:r>
      <w:r>
        <w:rPr>
          <w:rFonts w:eastAsia="Times New Roman"/>
          <w:sz w:val="24"/>
          <w:lang w:eastAsia="ar-SA"/>
        </w:rPr>
        <w:t xml:space="preserve"> – коэффициент ежегодного изменения;</w:t>
      </w:r>
    </w:p>
    <w:p>
      <w:pPr>
        <w:pStyle w:val="Style29"/>
        <w:spacing w:before="0" w:after="0"/>
        <w:rPr>
          <w:rFonts w:eastAsia="Times New Roman"/>
          <w:sz w:val="24"/>
          <w:lang w:eastAsia="ar-SA"/>
        </w:rPr>
      </w:pPr>
      <w:r>
        <w:rPr>
          <w:rFonts w:eastAsia="Times New Roman"/>
          <w:sz w:val="24"/>
          <w:lang w:eastAsia="ar-SA"/>
        </w:rPr>
        <w:t>Т – расчетный период.</w:t>
      </w:r>
    </w:p>
    <w:p>
      <w:pPr>
        <w:pStyle w:val="Style29"/>
        <w:spacing w:before="0" w:after="0"/>
        <w:rPr>
          <w:rFonts w:eastAsia="Times New Roman"/>
          <w:sz w:val="24"/>
          <w:lang w:eastAsia="ar-SA"/>
        </w:rPr>
      </w:pPr>
      <w:r>
        <w:rPr>
          <w:rFonts w:eastAsia="Times New Roman"/>
          <w:sz w:val="24"/>
          <w:lang w:eastAsia="ar-SA"/>
        </w:rPr>
        <w:t>Расчетный срок (20 лет):</w:t>
      </w:r>
    </w:p>
    <w:p>
      <w:pPr>
        <w:pStyle w:val="Style29"/>
        <w:spacing w:before="0" w:after="0"/>
        <w:rPr>
          <w:rFonts w:eastAsia="Times New Roman"/>
          <w:sz w:val="24"/>
          <w:lang w:eastAsia="ar-SA"/>
        </w:rPr>
      </w:pPr>
      <w:r>
        <w:rPr>
          <w:rFonts w:eastAsia="Times New Roman"/>
          <w:sz w:val="24"/>
          <w:lang w:eastAsia="ar-SA"/>
        </w:rPr>
        <w:t>с. Азей</w:t>
      </w:r>
    </w:p>
    <w:p>
      <w:pPr>
        <w:pStyle w:val="Style29"/>
        <w:spacing w:before="0" w:after="0"/>
        <w:rPr>
          <w:rFonts w:eastAsia="Times New Roman"/>
          <w:sz w:val="24"/>
          <w:lang w:eastAsia="ar-SA"/>
        </w:rPr>
      </w:pPr>
      <w:r>
        <w:rPr>
          <w:rFonts w:eastAsia="Times New Roman"/>
          <w:sz w:val="24"/>
          <w:lang w:eastAsia="ar-SA"/>
        </w:rPr>
        <w:t>Н = 675 (1 + 1 / 100)</w:t>
      </w:r>
      <w:r>
        <w:rPr>
          <w:rFonts w:eastAsia="Times New Roman"/>
          <w:sz w:val="24"/>
          <w:vertAlign w:val="superscript"/>
          <w:lang w:eastAsia="ar-SA"/>
        </w:rPr>
        <w:t xml:space="preserve">20 </w:t>
      </w:r>
      <w:r>
        <w:rPr>
          <w:rFonts w:eastAsia="Times New Roman"/>
          <w:sz w:val="24"/>
          <w:lang w:eastAsia="ar-SA"/>
        </w:rPr>
        <w:t>= 856 человека;</w:t>
      </w:r>
    </w:p>
    <w:p>
      <w:pPr>
        <w:pStyle w:val="Style29"/>
        <w:spacing w:before="0" w:after="0"/>
        <w:rPr>
          <w:rFonts w:eastAsia="Times New Roman"/>
          <w:sz w:val="24"/>
          <w:lang w:eastAsia="ar-SA"/>
        </w:rPr>
      </w:pPr>
      <w:r>
        <w:rPr>
          <w:rFonts w:eastAsia="Times New Roman"/>
          <w:sz w:val="24"/>
          <w:lang w:eastAsia="ar-SA"/>
        </w:rPr>
        <w:t>д. Нюра</w:t>
      </w:r>
    </w:p>
    <w:p>
      <w:pPr>
        <w:pStyle w:val="Style29"/>
        <w:spacing w:before="0" w:after="0"/>
        <w:rPr>
          <w:rFonts w:eastAsia="Times New Roman"/>
          <w:sz w:val="24"/>
          <w:lang w:eastAsia="ar-SA"/>
        </w:rPr>
      </w:pPr>
      <w:r>
        <w:rPr>
          <w:rFonts w:eastAsia="Times New Roman"/>
          <w:sz w:val="24"/>
          <w:lang w:eastAsia="ar-SA"/>
        </w:rPr>
        <w:t>Н = 29 (1 + 1 / 100)</w:t>
      </w:r>
      <w:r>
        <w:rPr>
          <w:rFonts w:eastAsia="Times New Roman"/>
          <w:sz w:val="24"/>
          <w:vertAlign w:val="superscript"/>
          <w:lang w:eastAsia="ar-SA"/>
        </w:rPr>
        <w:t xml:space="preserve">20 </w:t>
      </w:r>
      <w:r>
        <w:rPr>
          <w:rFonts w:eastAsia="Times New Roman"/>
          <w:sz w:val="24"/>
          <w:lang w:eastAsia="ar-SA"/>
        </w:rPr>
        <w:t>= 37 человек;</w:t>
      </w:r>
    </w:p>
    <w:p>
      <w:pPr>
        <w:pStyle w:val="Style29"/>
        <w:spacing w:before="0" w:after="0"/>
        <w:rPr>
          <w:rFonts w:eastAsia="Times New Roman"/>
          <w:sz w:val="24"/>
          <w:lang w:eastAsia="ar-SA"/>
        </w:rPr>
      </w:pPr>
      <w:r>
        <w:rPr>
          <w:rFonts w:eastAsia="Times New Roman"/>
          <w:sz w:val="24"/>
          <w:lang w:eastAsia="ar-SA"/>
        </w:rPr>
        <w:t>Всего по Азейскому СП:</w:t>
      </w:r>
    </w:p>
    <w:p>
      <w:pPr>
        <w:pStyle w:val="Style29"/>
        <w:spacing w:before="0" w:after="0"/>
        <w:rPr>
          <w:rFonts w:eastAsia="Times New Roman"/>
          <w:sz w:val="24"/>
          <w:lang w:eastAsia="ar-SA"/>
        </w:rPr>
      </w:pPr>
      <w:r>
        <w:rPr>
          <w:rFonts w:eastAsia="Times New Roman"/>
          <w:sz w:val="24"/>
          <w:lang w:eastAsia="ar-SA"/>
        </w:rPr>
        <w:t>Н = 704 (1 + 1 / 100)</w:t>
      </w:r>
      <w:r>
        <w:rPr>
          <w:rFonts w:eastAsia="Times New Roman"/>
          <w:sz w:val="24"/>
          <w:vertAlign w:val="superscript"/>
          <w:lang w:eastAsia="ar-SA"/>
        </w:rPr>
        <w:t xml:space="preserve">20 </w:t>
      </w:r>
      <w:r>
        <w:rPr>
          <w:rFonts w:eastAsia="Times New Roman"/>
          <w:sz w:val="24"/>
          <w:lang w:eastAsia="ar-SA"/>
        </w:rPr>
        <w:t>= 894 человек.</w:t>
      </w:r>
    </w:p>
    <w:p>
      <w:pPr>
        <w:pStyle w:val="Style29"/>
        <w:spacing w:before="0" w:after="0"/>
        <w:rPr>
          <w:rFonts w:eastAsia="Times New Roman"/>
          <w:sz w:val="24"/>
          <w:lang w:eastAsia="ar-SA"/>
        </w:rPr>
      </w:pPr>
      <w:r>
        <w:rPr>
          <w:rFonts w:eastAsia="Times New Roman"/>
          <w:sz w:val="24"/>
          <w:lang w:eastAsia="ar-SA"/>
        </w:rPr>
        <w:t>При расчете численности населения на расчетный срок учитывались следующие допущения:</w:t>
      </w:r>
    </w:p>
    <w:p>
      <w:pPr>
        <w:pStyle w:val="Style29"/>
        <w:spacing w:before="0" w:after="0"/>
        <w:rPr>
          <w:rFonts w:eastAsia="Times New Roman"/>
          <w:sz w:val="24"/>
          <w:lang w:eastAsia="ar-SA"/>
        </w:rPr>
      </w:pPr>
      <w:r>
        <w:rPr>
          <w:rFonts w:eastAsia="Times New Roman"/>
          <w:sz w:val="24"/>
          <w:lang w:eastAsia="ar-SA"/>
        </w:rPr>
        <w:t>- возможность повышения численности населения при исполнении мероприятий по жилищному и социальному развитию;</w:t>
      </w:r>
    </w:p>
    <w:p>
      <w:pPr>
        <w:pStyle w:val="Style29"/>
        <w:spacing w:before="0" w:after="0"/>
        <w:rPr>
          <w:rFonts w:eastAsia="Times New Roman"/>
          <w:sz w:val="24"/>
          <w:lang w:eastAsia="ar-SA"/>
        </w:rPr>
      </w:pPr>
      <w:r>
        <w:rPr>
          <w:rFonts w:eastAsia="Times New Roman"/>
          <w:sz w:val="24"/>
          <w:lang w:eastAsia="ar-SA"/>
        </w:rPr>
        <w:t>- выполнение мероприятий программы по переселению граждан РФ;</w:t>
      </w:r>
    </w:p>
    <w:p>
      <w:pPr>
        <w:pStyle w:val="Style29"/>
        <w:spacing w:before="0" w:after="0"/>
        <w:rPr>
          <w:rFonts w:eastAsia="Times New Roman"/>
          <w:sz w:val="24"/>
          <w:lang w:eastAsia="ar-SA"/>
        </w:rPr>
      </w:pPr>
      <w:r>
        <w:rPr>
          <w:rFonts w:eastAsia="Times New Roman"/>
          <w:sz w:val="24"/>
          <w:lang w:eastAsia="ar-SA"/>
        </w:rPr>
        <w:t>- выполнение мероприятий программы по доступному жилью для граждан РФ.</w:t>
      </w:r>
    </w:p>
    <w:p>
      <w:pPr>
        <w:pStyle w:val="Style29"/>
        <w:spacing w:before="0" w:after="0"/>
        <w:rPr>
          <w:rFonts w:eastAsia="Times New Roman"/>
          <w:sz w:val="24"/>
          <w:lang w:eastAsia="ar-SA"/>
        </w:rPr>
      </w:pPr>
      <w:r>
        <w:rPr>
          <w:rFonts w:eastAsia="Times New Roman"/>
          <w:sz w:val="24"/>
          <w:lang w:eastAsia="ar-SA"/>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pPr>
        <w:pStyle w:val="Style29"/>
        <w:spacing w:before="0" w:after="0"/>
        <w:rPr>
          <w:sz w:val="24"/>
        </w:rPr>
      </w:pPr>
      <w:bookmarkStart w:id="44" w:name="page111"/>
      <w:bookmarkStart w:id="45" w:name="page109"/>
      <w:bookmarkStart w:id="46" w:name="page111"/>
      <w:bookmarkStart w:id="47" w:name="page109"/>
      <w:bookmarkEnd w:id="46"/>
      <w:bookmarkEnd w:id="47"/>
      <w:r>
        <w:rPr>
          <w:sz w:val="24"/>
        </w:rPr>
      </w:r>
    </w:p>
    <w:p>
      <w:pPr>
        <w:pStyle w:val="Style29"/>
        <w:spacing w:before="0" w:after="0"/>
        <w:rPr>
          <w:b/>
          <w:b/>
          <w:sz w:val="24"/>
        </w:rPr>
      </w:pPr>
      <w:r>
        <w:rPr>
          <w:b/>
          <w:sz w:val="24"/>
        </w:rPr>
        <w:t xml:space="preserve">2.1.8. Функциональная структура теплоснабжения </w:t>
      </w:r>
    </w:p>
    <w:p>
      <w:pPr>
        <w:pStyle w:val="Style29"/>
        <w:spacing w:before="0" w:after="0"/>
        <w:rPr>
          <w:b/>
          <w:b/>
          <w:sz w:val="24"/>
        </w:rPr>
      </w:pPr>
      <w:r>
        <w:rPr>
          <w:b/>
          <w:sz w:val="24"/>
        </w:rPr>
      </w:r>
    </w:p>
    <w:p>
      <w:pPr>
        <w:pStyle w:val="Style29"/>
        <w:spacing w:before="0" w:after="0"/>
        <w:rPr>
          <w:sz w:val="24"/>
        </w:rPr>
      </w:pPr>
      <w:r>
        <w:rPr>
          <w:sz w:val="24"/>
        </w:rPr>
        <w:t xml:space="preserve"> </w:t>
      </w:r>
      <w:r>
        <w:rPr>
          <w:sz w:val="24"/>
        </w:rPr>
        <w:t xml:space="preserve">В сельском поселении Азейское централизованное отопление осуществляется только в   с. Азей. Теплоснабжающей организацией является МУСХП «Центральное». Основными потребителями тепловой энергии котельной являются административно–общественные здания, индивидуальные дома, а также многоквартирные дома. Однако, большая часть индивидуальных жилых домов и промышленных объектов отапливается за счет собственных источников тепла. </w:t>
      </w:r>
    </w:p>
    <w:p>
      <w:pPr>
        <w:pStyle w:val="Style29"/>
        <w:spacing w:before="0" w:after="0"/>
        <w:rPr>
          <w:sz w:val="24"/>
        </w:rPr>
      </w:pPr>
      <w:r>
        <w:rPr>
          <w:sz w:val="24"/>
        </w:rPr>
        <w:t>Отопление административно-общественных зданий и индивидуальных жилых домов в     д. Нюра осуществляется за счет автономных источников теплоснабжения.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 xml:space="preserve">2.1.9.  Источники тепловой энергии </w:t>
      </w:r>
    </w:p>
    <w:p>
      <w:pPr>
        <w:pStyle w:val="Style29"/>
        <w:spacing w:before="0" w:after="0"/>
        <w:rPr>
          <w:b/>
          <w:b/>
          <w:sz w:val="24"/>
        </w:rPr>
      </w:pPr>
      <w:r>
        <w:rPr>
          <w:b/>
          <w:sz w:val="24"/>
        </w:rPr>
      </w:r>
    </w:p>
    <w:p>
      <w:pPr>
        <w:pStyle w:val="Style29"/>
        <w:spacing w:before="0" w:after="0"/>
        <w:rPr>
          <w:sz w:val="24"/>
        </w:rPr>
      </w:pPr>
      <w:r>
        <w:rPr>
          <w:sz w:val="24"/>
        </w:rPr>
        <w:t>В сельском поселении Азей находится одна действующая котельная в с. Азей. Котельная оборудована 2-мя водогрейными котлами КВм, установленной мощностью 1,16 и 1,25 Гкал/ч, суммарной установленной и располагаемой тепловой мощностью 2,41Гкал/час. Котельная введена в эксплуатацию в 1972 году. Расход тепловой энергии на собственные нужды составляет 0,0212 Гкал/час.</w:t>
      </w:r>
    </w:p>
    <w:p>
      <w:pPr>
        <w:pStyle w:val="Style29"/>
        <w:spacing w:before="0" w:after="0"/>
        <w:rPr>
          <w:sz w:val="24"/>
        </w:rPr>
      </w:pPr>
      <w:r>
        <w:rPr>
          <w:sz w:val="24"/>
        </w:rPr>
        <w:t>Основные технические характеристики котлов указаны в табл. 2.4.</w:t>
      </w:r>
    </w:p>
    <w:p>
      <w:pPr>
        <w:pStyle w:val="Style29"/>
        <w:spacing w:before="0" w:after="0"/>
        <w:rPr>
          <w:sz w:val="24"/>
        </w:rPr>
      </w:pPr>
      <w:r>
        <w:rPr>
          <w:sz w:val="24"/>
        </w:rPr>
      </w:r>
    </w:p>
    <w:p>
      <w:pPr>
        <w:pStyle w:val="Style29"/>
        <w:spacing w:before="0" w:after="0"/>
        <w:rPr>
          <w:sz w:val="24"/>
        </w:rPr>
      </w:pPr>
      <w:r>
        <w:rPr>
          <w:sz w:val="24"/>
        </w:rPr>
        <w:t>Таблица 2.4. –  Технические характеристики котлов котельной.</w:t>
      </w:r>
    </w:p>
    <w:p>
      <w:pPr>
        <w:pStyle w:val="Style29"/>
        <w:spacing w:before="0" w:after="0"/>
        <w:rPr>
          <w:sz w:val="24"/>
        </w:rPr>
      </w:pPr>
      <w:r>
        <w:rPr>
          <w:sz w:val="24"/>
        </w:rPr>
      </w:r>
    </w:p>
    <w:tbl>
      <w:tblPr>
        <w:tblW w:w="10774"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708"/>
        <w:gridCol w:w="1702"/>
        <w:gridCol w:w="1701"/>
        <w:gridCol w:w="2154"/>
        <w:gridCol w:w="1280"/>
        <w:gridCol w:w="1528"/>
        <w:gridCol w:w="1700"/>
      </w:tblGrid>
      <w:tr>
        <w:trPr>
          <w:trHeight w:val="1045"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w:t>
            </w:r>
          </w:p>
          <w:p>
            <w:pPr>
              <w:pStyle w:val="Style29"/>
              <w:spacing w:before="0" w:after="0"/>
              <w:ind w:firstLine="6"/>
              <w:jc w:val="center"/>
              <w:rPr>
                <w:b/>
                <w:b/>
                <w:sz w:val="24"/>
              </w:rPr>
            </w:pPr>
            <w:r>
              <w:rPr>
                <w:b/>
                <w:sz w:val="24"/>
              </w:rPr>
              <w:t>котла</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Марка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Год установки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Мощность</w:t>
            </w:r>
          </w:p>
          <w:p>
            <w:pPr>
              <w:pStyle w:val="Style29"/>
              <w:spacing w:before="0" w:after="0"/>
              <w:ind w:firstLine="6"/>
              <w:jc w:val="center"/>
              <w:rPr>
                <w:b/>
                <w:b/>
                <w:sz w:val="24"/>
              </w:rPr>
            </w:pPr>
            <w:r>
              <w:rPr>
                <w:b/>
                <w:sz w:val="24"/>
              </w:rPr>
              <w:t>Гкал/час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Топливо</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Давление</w:t>
            </w:r>
          </w:p>
          <w:p>
            <w:pPr>
              <w:pStyle w:val="Style29"/>
              <w:spacing w:before="0" w:after="0"/>
              <w:ind w:firstLine="6"/>
              <w:jc w:val="center"/>
              <w:rPr>
                <w:b/>
                <w:b/>
                <w:sz w:val="24"/>
              </w:rPr>
            </w:pPr>
            <w:r>
              <w:rPr>
                <w:b/>
                <w:sz w:val="24"/>
              </w:rPr>
              <w:t>кгс/см</w:t>
            </w:r>
            <w:r>
              <w:rPr>
                <w:b/>
                <w:sz w:val="24"/>
                <w:vertAlign w:val="superscript"/>
              </w:rPr>
              <w:t>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КПД по</w:t>
            </w:r>
          </w:p>
          <w:p>
            <w:pPr>
              <w:pStyle w:val="Style29"/>
              <w:spacing w:before="0" w:after="0"/>
              <w:ind w:firstLine="6"/>
              <w:jc w:val="center"/>
              <w:rPr>
                <w:b/>
                <w:b/>
                <w:sz w:val="24"/>
              </w:rPr>
            </w:pPr>
            <w:r>
              <w:rPr>
                <w:b/>
                <w:sz w:val="24"/>
              </w:rPr>
              <w:t>паспорту,</w:t>
            </w:r>
          </w:p>
        </w:tc>
      </w:tr>
      <w:tr>
        <w:trPr>
          <w:trHeight w:val="278"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2010</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1,25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83</w:t>
            </w:r>
          </w:p>
        </w:tc>
      </w:tr>
      <w:tr>
        <w:trPr>
          <w:trHeight w:val="274"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2012</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80</w:t>
            </w:r>
          </w:p>
        </w:tc>
      </w:tr>
    </w:tbl>
    <w:p>
      <w:pPr>
        <w:pStyle w:val="Style29"/>
        <w:spacing w:before="0" w:after="0"/>
        <w:rPr>
          <w:sz w:val="24"/>
        </w:rPr>
      </w:pPr>
      <w:r>
        <w:rPr>
          <w:sz w:val="24"/>
        </w:rPr>
        <w:t>Регулирование отпуска тепла от котельной осуществляется качественным методом, т.е. изменением температуры на источнике.</w:t>
      </w:r>
    </w:p>
    <w:p>
      <w:pPr>
        <w:sectPr>
          <w:footerReference w:type="default" r:id="rId17"/>
          <w:type w:val="nextPage"/>
          <w:pgSz w:w="11906" w:h="16838"/>
          <w:pgMar w:left="1134" w:right="284" w:header="0" w:top="567" w:footer="720" w:bottom="851" w:gutter="0"/>
          <w:pgNumType w:fmt="decimal"/>
          <w:formProt w:val="false"/>
          <w:textDirection w:val="lrTb"/>
          <w:docGrid w:type="default" w:linePitch="100" w:charSpace="4096"/>
        </w:sectPr>
        <w:pStyle w:val="Style29"/>
        <w:spacing w:before="0" w:after="0"/>
        <w:rPr>
          <w:sz w:val="24"/>
        </w:rPr>
      </w:pPr>
      <w:r>
        <w:rPr>
          <w:sz w:val="24"/>
        </w:rPr>
        <w:t>Температурный график приведен в таблице 2.5. и отображен на рисунке 2.2.</w:t>
      </w:r>
    </w:p>
    <w:p>
      <w:pPr>
        <w:pStyle w:val="Style29"/>
        <w:spacing w:before="0" w:after="0"/>
        <w:rPr>
          <w:sz w:val="24"/>
        </w:rPr>
      </w:pPr>
      <w:bookmarkStart w:id="48" w:name="page113"/>
      <w:bookmarkEnd w:id="48"/>
      <w:r>
        <w:rPr>
          <w:sz w:val="24"/>
        </w:rPr>
        <w:t>Таблица 2.5. Изменение температуры теплоносителя в зависимости от температуры наружного воздуха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128" w:type="dxa"/>
        <w:jc w:val="left"/>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1687"/>
        <w:gridCol w:w="1441"/>
        <w:gridCol w:w="1540"/>
        <w:gridCol w:w="1800"/>
        <w:gridCol w:w="1440"/>
        <w:gridCol w:w="1219"/>
      </w:tblGrid>
      <w:tr>
        <w:trPr>
          <w:trHeight w:val="262" w:hRule="atLeast"/>
        </w:trPr>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наружного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воздуха</w:t>
            </w:r>
          </w:p>
        </w:tc>
        <w:tc>
          <w:tcPr>
            <w:tcW w:w="2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 сетевой воды</w:t>
            </w:r>
          </w:p>
        </w:tc>
        <w:tc>
          <w:tcPr>
            <w:tcW w:w="18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наружного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воздуха</w:t>
            </w:r>
          </w:p>
        </w:tc>
        <w:tc>
          <w:tcPr>
            <w:tcW w:w="26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 сетевой воды</w:t>
            </w:r>
          </w:p>
        </w:tc>
      </w:tr>
      <w:tr>
        <w:trPr>
          <w:trHeight w:val="697" w:hRule="atLeast"/>
        </w:trPr>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прямая</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обратная</w:t>
            </w:r>
          </w:p>
        </w:tc>
        <w:tc>
          <w:tcPr>
            <w:tcW w:w="18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прямая</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обратная</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341"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77</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78</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r>
      <w:tr>
        <w:trPr>
          <w:trHeight w:val="341"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86</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87</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88</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r>
    </w:tbl>
    <w:p>
      <w:pPr>
        <w:sectPr>
          <w:footerReference w:type="default" r:id="rId18"/>
          <w:type w:val="nextPage"/>
          <w:pgSz w:w="11906" w:h="16838"/>
          <w:pgMar w:left="1134" w:right="284" w:header="0" w:top="567" w:footer="720" w:bottom="851" w:gutter="0"/>
          <w:pgNumType w:fmt="decimal"/>
          <w:formProt w:val="false"/>
          <w:textDirection w:val="lrTb"/>
          <w:docGrid w:type="default" w:linePitch="100" w:charSpace="4096"/>
        </w:sectPr>
      </w:pP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sectPr>
          <w:type w:val="continuous"/>
          <w:pgSz w:w="11906" w:h="16838"/>
          <w:pgMar w:left="1134" w:right="284" w:header="0" w:top="567" w:footer="720" w:bottom="851" w:gutter="0"/>
          <w:formProt w:val="false"/>
          <w:textDirection w:val="lrTb"/>
          <w:docGrid w:type="default" w:linePitch="100" w:charSpace="4096"/>
        </w:sectPr>
      </w:pPr>
    </w:p>
    <w:p>
      <w:pPr>
        <w:pStyle w:val="Normal"/>
        <w:widowControl w:val="false"/>
        <w:spacing w:lineRule="auto" w:line="240" w:before="0" w:after="0"/>
        <w:rPr>
          <w:rFonts w:ascii="Times New Roman" w:hAnsi="Times New Roman" w:cs="Times New Roman"/>
          <w:sz w:val="28"/>
          <w:szCs w:val="28"/>
        </w:rPr>
      </w:pPr>
      <w:bookmarkStart w:id="49" w:name="page115"/>
      <w:bookmarkStart w:id="50" w:name="page115"/>
      <w:bookmarkEnd w:id="50"/>
      <w:r>
        <w:rPr>
          <w:rFonts w:cs="Times New Roman" w:ascii="Times New Roman" w:hAnsi="Times New Roman"/>
          <w:sz w:val="28"/>
          <w:szCs w:val="28"/>
        </w:rPr>
      </w:r>
    </w:p>
    <w:p>
      <w:pPr>
        <w:pStyle w:val="Style29"/>
        <w:spacing w:before="0" w:after="0"/>
        <w:rPr/>
      </w:pPr>
      <w:r>
        <w:rPr/>
        <w:drawing>
          <wp:inline distT="0" distB="0" distL="0" distR="0">
            <wp:extent cx="5624830" cy="401891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Style29"/>
        <w:spacing w:before="0" w:after="0"/>
        <w:rPr>
          <w:sz w:val="24"/>
        </w:rPr>
      </w:pPr>
      <w:r>
        <w:rPr>
          <w:sz w:val="24"/>
        </w:rPr>
        <w:t>Рисунок 2.2. – Температурный график отпуска тепловой энергии от котельной</w:t>
      </w:r>
    </w:p>
    <w:p>
      <w:pPr>
        <w:pStyle w:val="Style29"/>
        <w:spacing w:before="0" w:after="0"/>
        <w:rPr>
          <w:sz w:val="24"/>
        </w:rPr>
      </w:pPr>
      <w:r>
        <w:rPr>
          <w:sz w:val="24"/>
        </w:rPr>
      </w:r>
    </w:p>
    <w:p>
      <w:pPr>
        <w:pStyle w:val="Style29"/>
        <w:spacing w:before="0" w:after="0"/>
        <w:rPr>
          <w:sz w:val="24"/>
        </w:rPr>
      </w:pPr>
      <w:r>
        <w:rPr>
          <w:sz w:val="24"/>
        </w:rPr>
        <w:t>Основное топливо котельной – уголь.</w:t>
      </w:r>
    </w:p>
    <w:p>
      <w:pPr>
        <w:pStyle w:val="Style29"/>
        <w:spacing w:before="0" w:after="0"/>
        <w:rPr>
          <w:sz w:val="24"/>
        </w:rPr>
      </w:pPr>
      <w:r>
        <w:rPr>
          <w:sz w:val="24"/>
        </w:rPr>
        <w:t>Во время отопительного периода в работе находятся 1 котел и один котел остается в резерве. В период наибольших отопительных нагрузок в котельной работают 2 котла.</w:t>
      </w:r>
    </w:p>
    <w:p>
      <w:pPr>
        <w:pStyle w:val="Style29"/>
        <w:spacing w:before="0" w:after="0"/>
        <w:rPr>
          <w:sz w:val="24"/>
        </w:rPr>
      </w:pPr>
      <w:r>
        <w:rPr>
          <w:sz w:val="24"/>
        </w:rPr>
        <w:t>Степень износа котельного оборудования составляет 30 %.</w:t>
      </w:r>
    </w:p>
    <w:p>
      <w:pPr>
        <w:pStyle w:val="Style29"/>
        <w:spacing w:before="0" w:after="0"/>
        <w:rPr>
          <w:sz w:val="24"/>
        </w:rPr>
      </w:pPr>
      <w:r>
        <w:rPr>
          <w:sz w:val="24"/>
        </w:rPr>
        <w:t>Для заполнения и подпитки тепловой сети используется вода из скважины. Оборудование для водоподготовки исходной воды тепловых сетей отсутствует.</w:t>
      </w:r>
    </w:p>
    <w:p>
      <w:pPr>
        <w:pStyle w:val="Style29"/>
        <w:spacing w:before="0" w:after="0"/>
        <w:rPr>
          <w:sz w:val="24"/>
        </w:rPr>
      </w:pPr>
      <w:r>
        <w:rPr>
          <w:sz w:val="24"/>
        </w:rPr>
        <w:t>Учет отпущенной тепловой энергии от котельной отсутствует.</w:t>
      </w:r>
    </w:p>
    <w:p>
      <w:pPr>
        <w:pStyle w:val="Style29"/>
        <w:spacing w:before="0" w:after="0"/>
        <w:rPr>
          <w:b/>
          <w:b/>
          <w:sz w:val="24"/>
        </w:rPr>
      </w:pPr>
      <w:r>
        <w:rPr>
          <w:b/>
          <w:sz w:val="24"/>
        </w:rPr>
      </w:r>
    </w:p>
    <w:p>
      <w:pPr>
        <w:pStyle w:val="Style29"/>
        <w:spacing w:before="0" w:after="0"/>
        <w:rPr>
          <w:b/>
          <w:b/>
          <w:sz w:val="24"/>
        </w:rPr>
      </w:pPr>
      <w:r>
        <w:rPr>
          <w:b/>
          <w:sz w:val="24"/>
        </w:rPr>
        <w:t>2.1.9.  Тепловые сети, сооружения на них и тепловые пункты</w:t>
      </w:r>
    </w:p>
    <w:p>
      <w:pPr>
        <w:pStyle w:val="Style29"/>
        <w:spacing w:before="0" w:after="0"/>
        <w:rPr>
          <w:b/>
          <w:b/>
          <w:sz w:val="24"/>
        </w:rPr>
      </w:pPr>
      <w:r>
        <w:rPr>
          <w:b/>
          <w:sz w:val="24"/>
        </w:rPr>
      </w:r>
    </w:p>
    <w:p>
      <w:pPr>
        <w:pStyle w:val="Style29"/>
        <w:spacing w:before="0" w:after="0"/>
        <w:rPr>
          <w:sz w:val="24"/>
        </w:rPr>
      </w:pPr>
      <w:r>
        <w:rPr>
          <w:sz w:val="24"/>
        </w:rPr>
        <w:t>Протяженность тепловых сетей в с. Азей составляет 1,558 км, проложены подземным способом и наземным способом, присоединение потребителей тепловой энергии осуществлено по открытой схеме теплоснабжения.</w:t>
      </w:r>
    </w:p>
    <w:p>
      <w:pPr>
        <w:pStyle w:val="Style29"/>
        <w:spacing w:before="0" w:after="0"/>
        <w:rPr>
          <w:sz w:val="24"/>
        </w:rPr>
      </w:pPr>
      <w:r>
        <w:rPr>
          <w:sz w:val="24"/>
        </w:rPr>
        <w:t>Износ сетей составляет более 20 %.</w:t>
      </w:r>
    </w:p>
    <w:p>
      <w:pPr>
        <w:pStyle w:val="Style29"/>
        <w:spacing w:before="0" w:after="0"/>
        <w:rPr>
          <w:sz w:val="24"/>
        </w:rPr>
      </w:pPr>
      <w:r>
        <w:rPr>
          <w:sz w:val="24"/>
        </w:rPr>
        <w:t>Схема тепловой сети показана на рисунке 2.3., перечень потребителей тепловой энергии приведен в таблице 2.6.</w:t>
      </w:r>
    </w:p>
    <w:p>
      <w:pPr>
        <w:pStyle w:val="Style29"/>
        <w:spacing w:before="0" w:after="0"/>
        <w:rPr>
          <w:sz w:val="24"/>
        </w:rPr>
      </w:pPr>
      <w:r>
        <w:rPr>
          <w:sz w:val="24"/>
        </w:rPr>
      </w:r>
    </w:p>
    <w:p>
      <w:pPr>
        <w:pStyle w:val="Style29"/>
        <w:spacing w:before="0" w:after="0"/>
        <w:rPr>
          <w:sz w:val="24"/>
        </w:rPr>
      </w:pPr>
      <w:r>
        <w:rPr>
          <w:sz w:val="24"/>
        </w:rPr>
        <w:t>Таблица 2.6. – Объем потребления тепловой энергии потребителями</w:t>
      </w:r>
    </w:p>
    <w:p>
      <w:pPr>
        <w:pStyle w:val="Style29"/>
        <w:spacing w:before="0" w:after="0"/>
        <w:rPr>
          <w:sz w:val="24"/>
        </w:rPr>
      </w:pPr>
      <w:r>
        <w:rPr>
          <w:sz w:val="24"/>
        </w:rPr>
      </w:r>
    </w:p>
    <w:tbl>
      <w:tblPr>
        <w:tblStyle w:val="af0"/>
        <w:tblW w:w="10173" w:type="dxa"/>
        <w:jc w:val="left"/>
        <w:tblInd w:w="0" w:type="dxa"/>
        <w:tblCellMar>
          <w:top w:w="0" w:type="dxa"/>
          <w:left w:w="108" w:type="dxa"/>
          <w:bottom w:w="0" w:type="dxa"/>
          <w:right w:w="108" w:type="dxa"/>
        </w:tblCellMar>
        <w:tblLook w:firstRow="1" w:noVBand="1" w:lastRow="0" w:firstColumn="1" w:lastColumn="0" w:noHBand="0" w:val="04a0"/>
      </w:tblPr>
      <w:tblGrid>
        <w:gridCol w:w="391"/>
        <w:gridCol w:w="4536"/>
        <w:gridCol w:w="5246"/>
      </w:tblGrid>
      <w:tr>
        <w:trPr>
          <w:trHeight w:val="284" w:hRule="atLeast"/>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t>
            </w:r>
          </w:p>
        </w:tc>
        <w:tc>
          <w:tcPr>
            <w:tcW w:w="4536" w:type="dxa"/>
            <w:tcBorders/>
            <w:shd w:fill="auto" w:val="clear"/>
            <w:tcMar>
              <w:left w:w="108" w:type="dxa"/>
            </w:tcMar>
            <w:vAlign w:val="center"/>
          </w:tcPr>
          <w:p>
            <w:pPr>
              <w:pStyle w:val="Style29"/>
              <w:spacing w:lineRule="auto" w:line="240" w:before="0" w:after="0"/>
              <w:ind w:hanging="0"/>
              <w:jc w:val="center"/>
              <w:rPr>
                <w:b/>
                <w:b/>
                <w:sz w:val="24"/>
              </w:rPr>
            </w:pPr>
            <w:r>
              <w:rPr>
                <w:b/>
                <w:sz w:val="24"/>
              </w:rPr>
              <w:t>Потребитель</w:t>
            </w:r>
          </w:p>
        </w:tc>
        <w:tc>
          <w:tcPr>
            <w:tcW w:w="5246" w:type="dxa"/>
            <w:tcBorders/>
            <w:shd w:fill="auto" w:val="clear"/>
            <w:tcMar>
              <w:left w:w="108" w:type="dxa"/>
            </w:tcMar>
            <w:vAlign w:val="center"/>
          </w:tcPr>
          <w:p>
            <w:pPr>
              <w:pStyle w:val="Style29"/>
              <w:spacing w:lineRule="auto" w:line="240" w:before="0" w:after="0"/>
              <w:ind w:hanging="0"/>
              <w:jc w:val="center"/>
              <w:rPr>
                <w:b/>
                <w:b/>
                <w:sz w:val="24"/>
              </w:rPr>
            </w:pPr>
            <w:r>
              <w:rPr>
                <w:b/>
                <w:sz w:val="24"/>
              </w:rPr>
              <w:t>Потребление, тыс. Гкал</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sz w:val="24"/>
              </w:rPr>
              <w:t>МОУ «Азейская СОШ»</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0,3335</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sz w:val="24"/>
              </w:rPr>
              <w:t>ФАП с. Азей</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0,02128</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b/>
                <w:sz w:val="24"/>
              </w:rPr>
              <w:t>ИТОГО организации</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0,35478</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b/>
                <w:sz w:val="24"/>
              </w:rPr>
              <w:t>Население по с. Азей</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2,10336</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b/>
                <w:b/>
                <w:sz w:val="24"/>
              </w:rPr>
            </w:pPr>
            <w:r>
              <w:rPr>
                <w:b/>
                <w:sz w:val="24"/>
              </w:rPr>
              <w:t>ИТОГО по Азейскому СП</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2,45814</w:t>
            </w:r>
          </w:p>
        </w:tc>
      </w:tr>
    </w:tbl>
    <w:p>
      <w:pPr>
        <w:pStyle w:val="Style29"/>
        <w:spacing w:before="0" w:after="0"/>
        <w:rPr/>
      </w:pPr>
      <w:r>
        <w:rPr/>
      </w:r>
    </w:p>
    <w:p>
      <w:pPr>
        <w:pStyle w:val="Style29"/>
        <w:spacing w:before="0" w:after="0"/>
        <w:rPr/>
      </w:pPr>
      <w:r>
        <w:rPr/>
        <w:drawing>
          <wp:inline distT="0" distB="1270" distL="0" distR="8890">
            <wp:extent cx="6296660" cy="5085080"/>
            <wp:effectExtent l="0" t="0" r="0" b="0"/>
            <wp:docPr id="6"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descr=""/>
                    <pic:cNvPicPr>
                      <a:picLocks noChangeAspect="1" noChangeArrowheads="1"/>
                    </pic:cNvPicPr>
                  </pic:nvPicPr>
                  <pic:blipFill>
                    <a:blip r:embed="rId20"/>
                    <a:stretch>
                      <a:fillRect/>
                    </a:stretch>
                  </pic:blipFill>
                  <pic:spPr bwMode="auto">
                    <a:xfrm>
                      <a:off x="0" y="0"/>
                      <a:ext cx="6296660" cy="5085080"/>
                    </a:xfrm>
                    <a:prstGeom prst="rect">
                      <a:avLst/>
                    </a:prstGeom>
                  </pic:spPr>
                </pic:pic>
              </a:graphicData>
            </a:graphic>
          </wp:inline>
        </w:drawing>
      </w:r>
    </w:p>
    <w:p>
      <w:pPr>
        <w:pStyle w:val="Style29"/>
        <w:spacing w:before="0" w:after="0"/>
        <w:rPr>
          <w:sz w:val="24"/>
        </w:rPr>
      </w:pPr>
      <w:r>
        <w:rPr>
          <w:sz w:val="24"/>
        </w:rPr>
        <w:t>Рисунок 2.3. – Графическое изображение тепловых сетей котельной</w:t>
      </w:r>
    </w:p>
    <w:p>
      <w:pPr>
        <w:pStyle w:val="Style29"/>
        <w:spacing w:before="0" w:after="0"/>
        <w:rPr>
          <w:sz w:val="24"/>
        </w:rPr>
      </w:pPr>
      <w:r>
        <w:rPr>
          <w:sz w:val="24"/>
        </w:rPr>
      </w:r>
    </w:p>
    <w:p>
      <w:pPr>
        <w:pStyle w:val="Style29"/>
        <w:spacing w:before="0" w:after="0"/>
        <w:rPr>
          <w:sz w:val="24"/>
        </w:rPr>
      </w:pPr>
      <w:r>
        <w:rPr>
          <w:sz w:val="24"/>
        </w:rPr>
        <w:t>Приборы учета тепла у потребителей тепловой энергии не установлены.</w:t>
      </w:r>
    </w:p>
    <w:p>
      <w:pPr>
        <w:pStyle w:val="Style29"/>
        <w:spacing w:before="0" w:after="0"/>
        <w:rPr>
          <w:sz w:val="24"/>
        </w:rPr>
      </w:pPr>
      <w:bookmarkStart w:id="51" w:name="page123"/>
      <w:bookmarkEnd w:id="51"/>
      <w:r>
        <w:rPr>
          <w:sz w:val="24"/>
        </w:rPr>
        <w:t xml:space="preserve">Температурный график тепловых сетей 95/70 </w:t>
      </w:r>
      <w:r>
        <w:rPr>
          <w:i/>
          <w:iCs/>
          <w:sz w:val="24"/>
          <w:vertAlign w:val="superscript"/>
        </w:rPr>
        <w:t>О</w:t>
      </w:r>
      <w:r>
        <w:rPr>
          <w:i/>
          <w:iCs/>
          <w:sz w:val="24"/>
        </w:rPr>
        <w:t>С</w:t>
      </w:r>
      <w:r>
        <w:rPr>
          <w:sz w:val="24"/>
        </w:rPr>
        <w:t xml:space="preserve"> , обусловлен режимом работы котельной, короткой протяженностью тепловых сетей, а также отсутствием необходимости у потребителя более высокой температуры.</w:t>
      </w:r>
    </w:p>
    <w:p>
      <w:pPr>
        <w:pStyle w:val="Style29"/>
        <w:spacing w:before="0" w:after="0"/>
        <w:rPr>
          <w:sz w:val="24"/>
        </w:rPr>
      </w:pPr>
      <w:r>
        <w:rPr>
          <w:sz w:val="24"/>
        </w:rPr>
        <w:t>Потери тепловой энергии в сетях составляют 0,289 Гкал/час или 12% от тепловой мощности котельной.</w:t>
      </w:r>
    </w:p>
    <w:p>
      <w:pPr>
        <w:pStyle w:val="Style29"/>
        <w:spacing w:before="0" w:after="0"/>
        <w:rPr>
          <w:sz w:val="24"/>
        </w:rPr>
      </w:pPr>
      <w:r>
        <w:rPr>
          <w:sz w:val="24"/>
        </w:rPr>
        <w:t>Организация обслуживающая тепловые сети от котельной – МУСХП «Центральное», проводят два раза в год гидравлические испытания сетей в целях выявления ненадежных участков.</w:t>
      </w:r>
    </w:p>
    <w:p>
      <w:pPr>
        <w:pStyle w:val="Normal"/>
        <w:widowControl w:val="false"/>
        <w:spacing w:lineRule="auto" w:line="240" w:before="0" w:after="0"/>
        <w:rPr>
          <w:sz w:val="24"/>
          <w:szCs w:val="24"/>
        </w:rPr>
      </w:pPr>
      <w:r>
        <w:rPr>
          <w:rFonts w:cs="Times New Roman" w:ascii="Times New Roman" w:hAnsi="Times New Roman"/>
          <w:sz w:val="24"/>
          <w:szCs w:val="24"/>
        </w:rPr>
        <w:tab/>
      </w:r>
    </w:p>
    <w:p>
      <w:pPr>
        <w:pStyle w:val="Style29"/>
        <w:spacing w:before="0" w:after="0"/>
        <w:rPr>
          <w:b/>
          <w:b/>
          <w:sz w:val="24"/>
        </w:rPr>
      </w:pPr>
      <w:r>
        <w:rPr>
          <w:b/>
          <w:sz w:val="24"/>
        </w:rPr>
        <w:t>2.1.10. Зоны действия источников тепловой энергии</w:t>
      </w:r>
    </w:p>
    <w:p>
      <w:pPr>
        <w:pStyle w:val="Style29"/>
        <w:spacing w:before="0" w:after="0"/>
        <w:rPr>
          <w:sz w:val="24"/>
        </w:rPr>
      </w:pPr>
      <w:r>
        <w:rPr>
          <w:sz w:val="24"/>
        </w:rPr>
      </w:r>
    </w:p>
    <w:p>
      <w:pPr>
        <w:pStyle w:val="Style29"/>
        <w:spacing w:before="0" w:after="0"/>
        <w:rPr>
          <w:sz w:val="24"/>
        </w:rPr>
      </w:pPr>
      <w:r>
        <w:rPr>
          <w:sz w:val="24"/>
        </w:rPr>
        <w:t>На рисунке 2.4 отображена зона действия котельной и расположение потребителей тепловой энергии в с. Азей.</w:t>
      </w:r>
    </w:p>
    <w:p>
      <w:pPr>
        <w:pStyle w:val="Normal"/>
        <w:widowControl w:val="false"/>
        <w:spacing w:lineRule="auto" w:line="240" w:before="0" w:after="0"/>
        <w:rPr>
          <w:rFonts w:ascii="Times New Roman" w:hAnsi="Times New Roman" w:cs="Times New Roman"/>
          <w:sz w:val="28"/>
          <w:szCs w:val="28"/>
        </w:rPr>
      </w:pPr>
      <w:r>
        <w:rPr/>
        <w:drawing>
          <wp:inline distT="0" distB="0" distL="0" distR="8890">
            <wp:extent cx="6296660" cy="5150485"/>
            <wp:effectExtent l="0" t="0" r="0" b="0"/>
            <wp:docPr id="7"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descr=""/>
                    <pic:cNvPicPr>
                      <a:picLocks noChangeAspect="1" noChangeArrowheads="1"/>
                    </pic:cNvPicPr>
                  </pic:nvPicPr>
                  <pic:blipFill>
                    <a:blip r:embed="rId21"/>
                    <a:stretch>
                      <a:fillRect/>
                    </a:stretch>
                  </pic:blipFill>
                  <pic:spPr bwMode="auto">
                    <a:xfrm>
                      <a:off x="0" y="0"/>
                      <a:ext cx="6296660" cy="5150485"/>
                    </a:xfrm>
                    <a:prstGeom prst="rect">
                      <a:avLst/>
                    </a:prstGeom>
                  </pic:spPr>
                </pic:pic>
              </a:graphicData>
            </a:graphic>
          </wp:inline>
        </w:drawing>
      </w:r>
    </w:p>
    <w:p>
      <w:pPr>
        <w:pStyle w:val="Normal"/>
        <w:tabs>
          <w:tab w:val="left" w:pos="17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17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Рисунок 2.4. – Зона действия котельной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bookmarkStart w:id="52" w:name="page133"/>
      <w:bookmarkEnd w:id="52"/>
      <w:r>
        <w:rPr>
          <w:b/>
          <w:sz w:val="24"/>
        </w:rPr>
        <w:t>2.1.11.Балансы теплоносителя</w:t>
      </w:r>
    </w:p>
    <w:p>
      <w:pPr>
        <w:pStyle w:val="Style29"/>
        <w:spacing w:before="0" w:after="0"/>
        <w:rPr>
          <w:b/>
          <w:b/>
          <w:sz w:val="24"/>
        </w:rPr>
      </w:pPr>
      <w:r>
        <w:rPr>
          <w:b/>
          <w:sz w:val="24"/>
        </w:rPr>
      </w:r>
    </w:p>
    <w:p>
      <w:pPr>
        <w:pStyle w:val="Style29"/>
        <w:spacing w:before="0" w:after="0"/>
        <w:rPr>
          <w:sz w:val="24"/>
        </w:rPr>
      </w:pPr>
      <w:r>
        <w:rPr>
          <w:sz w:val="24"/>
        </w:rPr>
        <w:t xml:space="preserve">В котельной отсутствует система водоподготовки. 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 </w:t>
      </w:r>
    </w:p>
    <w:p>
      <w:pPr>
        <w:pStyle w:val="Style29"/>
        <w:spacing w:before="0" w:after="0"/>
        <w:rPr>
          <w:sz w:val="24"/>
        </w:rPr>
      </w:pPr>
      <w:r>
        <w:rPr>
          <w:sz w:val="24"/>
        </w:rPr>
        <w:t>Расход сетевой и подпиточной воды в тепловых сетях приведен в таблице 2.7.</w:t>
      </w:r>
    </w:p>
    <w:p>
      <w:pPr>
        <w:pStyle w:val="Style29"/>
        <w:spacing w:before="0" w:after="0"/>
        <w:rPr>
          <w:sz w:val="24"/>
        </w:rPr>
      </w:pPr>
      <w:r>
        <w:rPr>
          <w:sz w:val="24"/>
        </w:rPr>
      </w:r>
    </w:p>
    <w:p>
      <w:pPr>
        <w:pStyle w:val="Style29"/>
        <w:spacing w:before="0" w:after="0"/>
        <w:rPr>
          <w:sz w:val="24"/>
        </w:rPr>
      </w:pPr>
      <w:bookmarkStart w:id="53" w:name="page137"/>
      <w:bookmarkEnd w:id="53"/>
      <w:r>
        <w:rPr>
          <w:sz w:val="24"/>
        </w:rPr>
        <w:t>Таблица 2.7. – Расход сетевой и подпиточной воды в тепловых сетях</w:t>
      </w:r>
    </w:p>
    <w:p>
      <w:pPr>
        <w:pStyle w:val="Style29"/>
        <w:spacing w:before="0" w:after="0"/>
        <w:rPr>
          <w:sz w:val="24"/>
        </w:rPr>
      </w:pPr>
      <w:r>
        <w:rPr>
          <w:sz w:val="24"/>
        </w:rPr>
      </w:r>
    </w:p>
    <w:tbl>
      <w:tblPr>
        <w:tblW w:w="996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6979"/>
        <w:gridCol w:w="1260"/>
        <w:gridCol w:w="1721"/>
      </w:tblGrid>
      <w:tr>
        <w:trPr>
          <w:trHeight w:val="525"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Наименование параметра</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Котельная</w:t>
            </w:r>
          </w:p>
        </w:tc>
      </w:tr>
      <w:tr>
        <w:trPr>
          <w:trHeight w:val="661"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Максимальная  тепловая  нагрузка  потребителей</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тепловой энергии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Гкал/ч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0,42</w:t>
            </w:r>
          </w:p>
        </w:tc>
      </w:tr>
      <w:tr>
        <w:trPr>
          <w:trHeight w:val="557"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Расчетный максимальный расход теплоносителя</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потребителями тепла</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62</w:t>
            </w:r>
          </w:p>
        </w:tc>
      </w:tr>
      <w:tr>
        <w:trPr>
          <w:trHeight w:val="409"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Объем теплоносителя в тепловых сетях</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м</w:t>
            </w:r>
            <w:r>
              <w:rPr>
                <w:rFonts w:cs="Times New Roman" w:ascii="Times New Roman" w:hAnsi="Times New Roman"/>
                <w:sz w:val="24"/>
                <w:szCs w:val="24"/>
                <w:vertAlign w:val="superscript"/>
              </w:rPr>
              <w:t>3</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126,1</w:t>
            </w:r>
          </w:p>
        </w:tc>
      </w:tr>
      <w:tr>
        <w:trPr>
          <w:trHeight w:val="415"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Расход воды для подпитки тепловых сетей</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0,95</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2.1.12. Топливные балансы источников тепловой энергии и система обеспечения топливом</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Основным топливом котельной является уголь. Фактическая средняя теплота сгорания Азейского угля принята 3820 ккал/кг.</w:t>
      </w:r>
    </w:p>
    <w:p>
      <w:pPr>
        <w:pStyle w:val="Style29"/>
        <w:spacing w:before="0" w:after="0"/>
        <w:rPr>
          <w:sz w:val="24"/>
        </w:rPr>
      </w:pPr>
      <w:r>
        <w:rPr>
          <w:sz w:val="24"/>
        </w:rPr>
        <w:t>Характеристика топливного режима котельной приведена в таблице 2.8.</w:t>
      </w:r>
    </w:p>
    <w:p>
      <w:pPr>
        <w:pStyle w:val="Style29"/>
        <w:spacing w:before="0" w:after="0"/>
        <w:rPr>
          <w:sz w:val="24"/>
        </w:rPr>
      </w:pPr>
      <w:r>
        <w:rPr>
          <w:sz w:val="24"/>
        </w:rPr>
      </w:r>
    </w:p>
    <w:p>
      <w:pPr>
        <w:pStyle w:val="Style29"/>
        <w:spacing w:before="0" w:after="0"/>
        <w:rPr>
          <w:sz w:val="24"/>
        </w:rPr>
      </w:pPr>
      <w:r>
        <w:rPr>
          <w:sz w:val="24"/>
        </w:rPr>
        <w:t>Таблица 2.8. –  Характеристика топливного режима котельной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2546"/>
        <w:gridCol w:w="2412"/>
        <w:gridCol w:w="2408"/>
        <w:gridCol w:w="2551"/>
      </w:tblGrid>
      <w:tr>
        <w:trPr>
          <w:trHeight w:val="976"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Источники</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тепловой энергии</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 часовой расход топлива, т.у.т./ч</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Вид основного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 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основного 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w:t>
            </w:r>
          </w:p>
        </w:tc>
      </w:tr>
      <w:tr>
        <w:trPr>
          <w:trHeight w:val="279"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0,125</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уголь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741</w:t>
            </w:r>
          </w:p>
        </w:tc>
      </w:tr>
    </w:tbl>
    <w:p>
      <w:pPr>
        <w:pStyle w:val="Style29"/>
        <w:spacing w:before="0" w:after="0"/>
        <w:rPr>
          <w:b/>
          <w:b/>
          <w:sz w:val="24"/>
        </w:rPr>
      </w:pPr>
      <w:bookmarkStart w:id="54" w:name="page147"/>
      <w:bookmarkStart w:id="55" w:name="page145"/>
      <w:bookmarkStart w:id="56" w:name="page147"/>
      <w:bookmarkStart w:id="57" w:name="page145"/>
      <w:bookmarkEnd w:id="56"/>
      <w:bookmarkEnd w:id="57"/>
      <w:r>
        <w:rPr>
          <w:b/>
          <w:sz w:val="24"/>
        </w:rPr>
      </w:r>
    </w:p>
    <w:p>
      <w:pPr>
        <w:pStyle w:val="Style29"/>
        <w:spacing w:before="0" w:after="0"/>
        <w:rPr>
          <w:b/>
          <w:b/>
          <w:sz w:val="24"/>
        </w:rPr>
      </w:pPr>
      <w:r>
        <w:rPr>
          <w:b/>
          <w:sz w:val="24"/>
        </w:rPr>
        <w:t>2.1.13. Проблемы в системе теплоснабжения с. Азей</w:t>
      </w:r>
    </w:p>
    <w:p>
      <w:pPr>
        <w:pStyle w:val="Style29"/>
        <w:spacing w:before="0" w:after="0"/>
        <w:rPr>
          <w:sz w:val="24"/>
        </w:rPr>
      </w:pPr>
      <w:r>
        <w:rPr>
          <w:sz w:val="24"/>
        </w:rPr>
      </w:r>
    </w:p>
    <w:p>
      <w:pPr>
        <w:pStyle w:val="Style29"/>
        <w:spacing w:before="0" w:after="0"/>
        <w:rPr>
          <w:sz w:val="24"/>
        </w:rPr>
      </w:pPr>
      <w:r>
        <w:rPr>
          <w:sz w:val="24"/>
        </w:rPr>
        <w:t>По данным теплоснабжающей организации МУСХП «Центральное», в системе теплоснабжения с. Азей выделяется несколько особо значимых технических проблем:</w:t>
      </w:r>
    </w:p>
    <w:p>
      <w:pPr>
        <w:pStyle w:val="Style29"/>
        <w:spacing w:before="0" w:after="0"/>
        <w:rPr>
          <w:sz w:val="24"/>
        </w:rPr>
      </w:pPr>
      <w:r>
        <w:rPr>
          <w:sz w:val="24"/>
        </w:rPr>
        <w:t>-</w:t>
        <w:tab/>
        <w:t xml:space="preserve">средний КПД котлов – 81,5 %, что ведет к перерасходу топлива и увеличению себестоимости производимой тепловой энергии; </w:t>
      </w:r>
    </w:p>
    <w:p>
      <w:pPr>
        <w:pStyle w:val="Style29"/>
        <w:spacing w:before="0" w:after="0"/>
        <w:rPr>
          <w:sz w:val="24"/>
        </w:rPr>
      </w:pPr>
      <w:r>
        <w:rPr>
          <w:sz w:val="24"/>
        </w:rPr>
        <w:t>-</w:t>
        <w:tab/>
        <w:t>на котельной отсутствует система водоподготовки;</w:t>
      </w:r>
    </w:p>
    <w:p>
      <w:pPr>
        <w:pStyle w:val="Style29"/>
        <w:spacing w:before="0" w:after="0"/>
        <w:rPr>
          <w:sz w:val="24"/>
        </w:rPr>
      </w:pPr>
      <w:r>
        <w:rPr>
          <w:sz w:val="24"/>
        </w:rPr>
        <w:t>-</w:t>
        <w:tab/>
        <w:t xml:space="preserve">отсутствует коммерческий учет отпущенной тепловой энергии. </w:t>
      </w:r>
    </w:p>
    <w:p>
      <w:pPr>
        <w:pStyle w:val="Style29"/>
        <w:spacing w:before="0" w:after="0"/>
        <w:rPr>
          <w:b/>
          <w:b/>
          <w:sz w:val="24"/>
        </w:rPr>
      </w:pPr>
      <w:bookmarkStart w:id="58" w:name="page149"/>
      <w:bookmarkStart w:id="59" w:name="page149"/>
      <w:bookmarkEnd w:id="59"/>
      <w:r>
        <w:rPr>
          <w:b/>
          <w:sz w:val="24"/>
        </w:rPr>
      </w:r>
    </w:p>
    <w:p>
      <w:pPr>
        <w:pStyle w:val="Style29"/>
        <w:spacing w:before="0" w:after="0"/>
        <w:rPr>
          <w:b/>
          <w:b/>
          <w:sz w:val="24"/>
        </w:rPr>
      </w:pPr>
      <w:r>
        <w:rPr>
          <w:b/>
          <w:sz w:val="24"/>
        </w:rPr>
        <w:t>2.2. Перспективное потребление тепловой энергии на цели теплоснабжения</w:t>
      </w:r>
    </w:p>
    <w:p>
      <w:pPr>
        <w:pStyle w:val="Style29"/>
        <w:spacing w:before="0" w:after="0"/>
        <w:rPr>
          <w:sz w:val="24"/>
        </w:rPr>
      </w:pPr>
      <w:r>
        <w:rPr>
          <w:sz w:val="24"/>
        </w:rPr>
        <w:t>Согласно Градостроительному  кодексу,  основным  документном, определяющим территориальное развитие сельского поселения, является его генеральных план.</w:t>
      </w:r>
    </w:p>
    <w:p>
      <w:pPr>
        <w:pStyle w:val="Style29"/>
        <w:spacing w:before="0" w:after="0"/>
        <w:rPr>
          <w:sz w:val="24"/>
        </w:rPr>
      </w:pPr>
      <w:r>
        <w:rPr>
          <w:sz w:val="24"/>
        </w:rPr>
        <w:t>Прогноз приростов строительных фондов и объемов потребления тепловой энергии Азейского сельского поселения основывается на данных генерального плана разработанным «</w:t>
      </w:r>
      <w:r>
        <w:rPr>
          <w:bCs/>
          <w:sz w:val="24"/>
        </w:rPr>
        <w:t>ООО «Градостроительство» г. Саранск</w:t>
      </w:r>
      <w:r>
        <w:rPr>
          <w:sz w:val="24"/>
        </w:rPr>
        <w:t>».</w:t>
      </w:r>
    </w:p>
    <w:p>
      <w:pPr>
        <w:pStyle w:val="Style29"/>
        <w:spacing w:before="0" w:after="0"/>
        <w:rPr>
          <w:sz w:val="24"/>
        </w:rPr>
      </w:pPr>
      <w:r>
        <w:rPr>
          <w:sz w:val="24"/>
        </w:rPr>
        <w:t>Генеральный план Азейского сельского разработан с учетом перспективы развития поселения на расчетные сроки:</w:t>
      </w:r>
    </w:p>
    <w:p>
      <w:pPr>
        <w:pStyle w:val="Style29"/>
        <w:spacing w:before="0" w:after="0"/>
        <w:rPr>
          <w:sz w:val="24"/>
        </w:rPr>
      </w:pPr>
      <w:r>
        <w:rPr>
          <w:sz w:val="24"/>
        </w:rPr>
        <w:t xml:space="preserve">первая очередь строительства – до 2020 года включительно; </w:t>
      </w:r>
    </w:p>
    <w:p>
      <w:pPr>
        <w:pStyle w:val="Style29"/>
        <w:spacing w:before="0" w:after="0"/>
        <w:rPr>
          <w:sz w:val="24"/>
        </w:rPr>
      </w:pPr>
      <w:r>
        <w:rPr>
          <w:sz w:val="24"/>
        </w:rPr>
        <w:t xml:space="preserve">расчетный срок строительства – до 2032 года включительно. </w:t>
      </w:r>
    </w:p>
    <w:p>
      <w:pPr>
        <w:pStyle w:val="Style29"/>
        <w:spacing w:before="0" w:after="0"/>
        <w:rPr>
          <w:sz w:val="24"/>
        </w:rPr>
      </w:pPr>
      <w:r>
        <w:rPr>
          <w:sz w:val="24"/>
        </w:rPr>
        <w:t>Генеральным планом предусматривается ввод индивидуальных жилых домов и административно-общественных зданий, строительство многоквартирных жилых домов не предусматривается.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2.2.1. Прогноз приростов площади жилищного фонда на этапах строительства Азейского сельского поселения</w:t>
      </w:r>
    </w:p>
    <w:p>
      <w:pPr>
        <w:pStyle w:val="Style29"/>
        <w:spacing w:before="0" w:after="0"/>
        <w:rPr>
          <w:b/>
          <w:b/>
          <w:sz w:val="24"/>
        </w:rPr>
      </w:pPr>
      <w:r>
        <w:rPr>
          <w:b/>
          <w:sz w:val="24"/>
        </w:rPr>
      </w:r>
    </w:p>
    <w:p>
      <w:pPr>
        <w:pStyle w:val="Style29"/>
        <w:spacing w:before="0" w:after="0"/>
        <w:rPr>
          <w:b/>
          <w:b/>
          <w:sz w:val="24"/>
        </w:rPr>
      </w:pPr>
      <w:r>
        <w:rPr>
          <w:sz w:val="24"/>
        </w:rPr>
        <w:t>Согласно генеральному плану сельского поселения Азей:</w:t>
      </w:r>
    </w:p>
    <w:p>
      <w:pPr>
        <w:pStyle w:val="Style29"/>
        <w:spacing w:before="0" w:after="0"/>
        <w:rPr>
          <w:sz w:val="24"/>
        </w:rPr>
      </w:pPr>
      <w:r>
        <w:rPr>
          <w:sz w:val="24"/>
        </w:rPr>
        <w:t xml:space="preserve">Площадь населенного пункта с. Азей по проекту расширяется на 11,43 га и составит к расчетному сроку 75,43 га.  </w:t>
      </w:r>
    </w:p>
    <w:p>
      <w:pPr>
        <w:pStyle w:val="Style29"/>
        <w:spacing w:before="0" w:after="0"/>
        <w:rPr>
          <w:sz w:val="24"/>
        </w:rPr>
      </w:pPr>
      <w:r>
        <w:rPr>
          <w:sz w:val="24"/>
        </w:rPr>
        <w:t>Площадь населенного пункта д. Нюра по проекту урезается  на 20  га  и составит к расчетному сроку 125 га.</w:t>
      </w:r>
    </w:p>
    <w:p>
      <w:pPr>
        <w:pStyle w:val="Style29"/>
        <w:spacing w:before="0" w:after="0"/>
        <w:rPr>
          <w:sz w:val="24"/>
        </w:rPr>
      </w:pPr>
      <w:r>
        <w:rPr>
          <w:sz w:val="24"/>
        </w:rPr>
        <w:t>Данные по жилищному фонду, отнесенному к ветхому фонду в соответствии с законодательством РФ, отсутствуют.</w:t>
      </w:r>
    </w:p>
    <w:p>
      <w:pPr>
        <w:pStyle w:val="Style29"/>
        <w:spacing w:before="0" w:after="0"/>
        <w:rPr>
          <w:sz w:val="24"/>
        </w:rPr>
      </w:pPr>
      <w:r>
        <w:rPr>
          <w:sz w:val="24"/>
        </w:rPr>
        <w:t>Характеристика жилищного фонда по типам застройки на данный год и пророст жилищного фонда по этапам строительств указан в таблице 2.1.</w:t>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bookmarkStart w:id="60" w:name="page151"/>
      <w:bookmarkEnd w:id="60"/>
      <w:r>
        <w:rPr>
          <w:sz w:val="24"/>
        </w:rPr>
        <w:t>Таблица 2.9. – Динамика приростов жилищных фондов</w:t>
      </w:r>
    </w:p>
    <w:p>
      <w:pPr>
        <w:pStyle w:val="Style29"/>
        <w:spacing w:before="0" w:after="0"/>
        <w:rPr>
          <w:sz w:val="24"/>
        </w:rPr>
      </w:pPr>
      <w:r>
        <w:rPr>
          <w:sz w:val="24"/>
        </w:rPr>
      </w:r>
    </w:p>
    <w:tbl>
      <w:tblPr>
        <w:tblW w:w="998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2139"/>
        <w:gridCol w:w="1841"/>
        <w:gridCol w:w="1940"/>
        <w:gridCol w:w="1620"/>
        <w:gridCol w:w="2441"/>
      </w:tblGrid>
      <w:tr>
        <w:trPr>
          <w:trHeight w:val="869"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Существующий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жилищный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фонд, тыс. кв. м.</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Первая очередь</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строительства,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Расчетный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срок,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Общий жилищный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фонд на 2032 год,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r>
      <w:tr>
        <w:trPr>
          <w:trHeight w:val="711"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Многоквартирные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здания</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r>
      <w:tr>
        <w:trPr>
          <w:trHeight w:val="409"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Жилые здания</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18,2</w:t>
            </w:r>
          </w:p>
        </w:tc>
      </w:tr>
      <w:tr>
        <w:trPr>
          <w:trHeight w:val="401"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14,0</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23,9</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Как видно из таблицы 2.9, рост площади жилищного фонда в Азейском сельском поселении будет прирастать за счет строительства индивидуальных жилых домов.</w:t>
      </w:r>
    </w:p>
    <w:p>
      <w:pPr>
        <w:pStyle w:val="Style29"/>
        <w:spacing w:before="0" w:after="0"/>
        <w:rPr>
          <w:sz w:val="24"/>
        </w:rPr>
      </w:pPr>
      <w:r>
        <w:rPr>
          <w:sz w:val="24"/>
        </w:rPr>
      </w:r>
    </w:p>
    <w:p>
      <w:pPr>
        <w:pStyle w:val="Style29"/>
        <w:spacing w:before="0" w:after="0"/>
        <w:rPr>
          <w:b/>
          <w:b/>
          <w:sz w:val="24"/>
        </w:rPr>
      </w:pPr>
      <w:bookmarkStart w:id="61" w:name="page161"/>
      <w:bookmarkEnd w:id="61"/>
      <w:r>
        <w:rPr>
          <w:b/>
          <w:sz w:val="24"/>
        </w:rPr>
        <w:t>2.2.2.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w:t>
      </w:r>
    </w:p>
    <w:p>
      <w:pPr>
        <w:pStyle w:val="Style29"/>
        <w:spacing w:before="0" w:after="0"/>
        <w:rPr>
          <w:b/>
          <w:b/>
          <w:sz w:val="24"/>
        </w:rPr>
      </w:pPr>
      <w:r>
        <w:rPr>
          <w:b/>
          <w:sz w:val="24"/>
        </w:rPr>
      </w:r>
    </w:p>
    <w:p>
      <w:pPr>
        <w:pStyle w:val="Style29"/>
        <w:spacing w:before="0" w:after="0"/>
        <w:rPr>
          <w:sz w:val="24"/>
        </w:rPr>
      </w:pPr>
      <w:r>
        <w:rPr>
          <w:sz w:val="24"/>
        </w:rPr>
        <w:t>Приросты тепловой нагрузки в зонах действия индивидуального теплоснабжения приведены в таблице 2.10.</w:t>
      </w:r>
    </w:p>
    <w:p>
      <w:pPr>
        <w:pStyle w:val="Style29"/>
        <w:spacing w:before="0" w:after="0"/>
        <w:rPr>
          <w:sz w:val="24"/>
        </w:rPr>
      </w:pPr>
      <w:r>
        <w:rPr>
          <w:sz w:val="24"/>
        </w:rPr>
      </w:r>
    </w:p>
    <w:p>
      <w:pPr>
        <w:pStyle w:val="Style29"/>
        <w:spacing w:before="0" w:after="0"/>
        <w:rPr>
          <w:sz w:val="24"/>
        </w:rPr>
      </w:pPr>
      <w:r>
        <w:rPr>
          <w:sz w:val="24"/>
        </w:rPr>
        <w:t>Таблица 2.10. – Прирост тепловой нагрузки в зонах действия индивидуального теплоснабжения</w:t>
      </w:r>
    </w:p>
    <w:p>
      <w:pPr>
        <w:pStyle w:val="Style29"/>
        <w:spacing w:before="0" w:after="0"/>
        <w:rPr>
          <w:sz w:val="24"/>
        </w:rPr>
      </w:pPr>
      <w:r>
        <w:rPr>
          <w:sz w:val="24"/>
        </w:rPr>
      </w:r>
    </w:p>
    <w:tbl>
      <w:tblPr>
        <w:tblW w:w="96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999"/>
        <w:gridCol w:w="1621"/>
        <w:gridCol w:w="1380"/>
        <w:gridCol w:w="1679"/>
      </w:tblGrid>
      <w:tr>
        <w:trPr>
          <w:trHeight w:val="225" w:hRule="atLeast"/>
        </w:trPr>
        <w:tc>
          <w:tcPr>
            <w:tcW w:w="49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hanging="5"/>
              <w:jc w:val="center"/>
              <w:rPr>
                <w:b/>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Тепловая нагрузка, Гкал/час</w:t>
            </w:r>
          </w:p>
        </w:tc>
      </w:tr>
      <w:tr>
        <w:trPr>
          <w:trHeight w:val="77" w:hRule="atLeast"/>
        </w:trPr>
        <w:tc>
          <w:tcPr>
            <w:tcW w:w="4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jc w:val="center"/>
              <w:rPr>
                <w:sz w:val="24"/>
              </w:rPr>
            </w:pPr>
            <w:r>
              <w:rPr>
                <w:sz w:val="24"/>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2018</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2032</w:t>
            </w:r>
          </w:p>
        </w:tc>
      </w:tr>
      <w:tr>
        <w:trPr>
          <w:trHeight w:val="77"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hanging="5"/>
              <w:jc w:val="center"/>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0,7</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1,36</w:t>
            </w:r>
          </w:p>
        </w:tc>
      </w:tr>
      <w:tr>
        <w:trPr>
          <w:trHeight w:val="77"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Style29"/>
              <w:spacing w:before="0" w:after="0"/>
              <w:ind w:hanging="5"/>
              <w:jc w:val="center"/>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4,0</w:t>
            </w:r>
          </w:p>
        </w:tc>
      </w:tr>
    </w:tbl>
    <w:p>
      <w:pPr>
        <w:pStyle w:val="Style29"/>
        <w:spacing w:before="0" w:after="0"/>
        <w:rPr>
          <w:sz w:val="24"/>
        </w:rPr>
      </w:pPr>
      <w:r>
        <w:rPr>
          <w:sz w:val="24"/>
        </w:rPr>
      </w:r>
    </w:p>
    <w:p>
      <w:pPr>
        <w:pStyle w:val="Style29"/>
        <w:spacing w:before="0" w:after="0"/>
        <w:rPr>
          <w:sz w:val="24"/>
        </w:rPr>
      </w:pPr>
      <w:r>
        <w:rPr>
          <w:sz w:val="24"/>
        </w:rPr>
        <w:t>Таблица 2.11. Существующая тепловая нагрузка потребителей тепловой энергии от котельной в с. Азей, административные здания</w:t>
      </w:r>
    </w:p>
    <w:p>
      <w:pPr>
        <w:pStyle w:val="Style29"/>
        <w:spacing w:before="0" w:after="0"/>
        <w:rPr>
          <w:sz w:val="24"/>
        </w:rPr>
      </w:pPr>
      <w:r>
        <w:rPr>
          <w:sz w:val="24"/>
        </w:rPr>
      </w:r>
    </w:p>
    <w:tbl>
      <w:tblPr>
        <w:tblW w:w="976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260"/>
        <w:gridCol w:w="1984"/>
        <w:gridCol w:w="2644"/>
        <w:gridCol w:w="1852"/>
        <w:gridCol w:w="25"/>
      </w:tblGrid>
      <w:tr>
        <w:trPr>
          <w:trHeight w:val="416"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Потребители тепла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 2025 года</w:t>
            </w:r>
          </w:p>
        </w:tc>
        <w:tc>
          <w:tcPr>
            <w:tcW w:w="18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 2032</w:t>
            </w:r>
          </w:p>
        </w:tc>
      </w:tr>
      <w:tr>
        <w:trPr>
          <w:trHeight w:val="263" w:hRule="atLeast"/>
        </w:trPr>
        <w:tc>
          <w:tcPr>
            <w:tcW w:w="32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МОУ «Азейская СОШ»</w:t>
            </w:r>
          </w:p>
        </w:tc>
        <w:tc>
          <w:tcPr>
            <w:tcW w:w="198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2644"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25" w:type="dxa"/>
            <w:tcBorders/>
            <w:shd w:fill="auto" w:val="clear"/>
          </w:tcPr>
          <w:p>
            <w:pPr>
              <w:pStyle w:val="Normal"/>
              <w:widowControl/>
              <w:bidi w:val="0"/>
              <w:spacing w:lineRule="auto" w:line="276" w:before="0" w:after="200"/>
              <w:jc w:val="left"/>
              <w:rPr/>
            </w:pPr>
            <w:r>
              <w:rPr/>
            </w:r>
          </w:p>
        </w:tc>
      </w:tr>
      <w:tr>
        <w:trPr>
          <w:trHeight w:val="268" w:hRule="atLeast"/>
        </w:trPr>
        <w:tc>
          <w:tcPr>
            <w:tcW w:w="32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ФАП с. Азей</w:t>
            </w:r>
          </w:p>
        </w:tc>
        <w:tc>
          <w:tcPr>
            <w:tcW w:w="198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2644"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25" w:type="dxa"/>
            <w:tcBorders/>
            <w:shd w:fill="auto" w:val="clear"/>
          </w:tcPr>
          <w:p>
            <w:pPr>
              <w:pStyle w:val="Normal"/>
              <w:widowControl/>
              <w:bidi w:val="0"/>
              <w:spacing w:lineRule="auto" w:line="276" w:before="0" w:after="200"/>
              <w:jc w:val="left"/>
              <w:rPr/>
            </w:pPr>
            <w:r>
              <w:rPr/>
            </w:r>
          </w:p>
        </w:tc>
      </w:tr>
      <w:tr>
        <w:trPr>
          <w:trHeight w:val="268"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Спортивный зал</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w:t>
            </w:r>
          </w:p>
        </w:tc>
        <w:tc>
          <w:tcPr>
            <w:tcW w:w="25" w:type="dxa"/>
            <w:tcBorders/>
            <w:shd w:fill="auto" w:val="clear"/>
          </w:tcPr>
          <w:p>
            <w:pPr>
              <w:pStyle w:val="Normal"/>
              <w:widowControl/>
              <w:bidi w:val="0"/>
              <w:spacing w:lineRule="auto" w:line="276" w:before="0" w:after="200"/>
              <w:jc w:val="left"/>
              <w:rPr/>
            </w:pPr>
            <w:r>
              <w:rPr/>
            </w:r>
          </w:p>
        </w:tc>
      </w:tr>
    </w:tbl>
    <w:p>
      <w:pPr>
        <w:pStyle w:val="Normal"/>
        <w:widowControl w:val="false"/>
        <w:overflowPunct w:val="true"/>
        <w:spacing w:lineRule="auto" w:line="240" w:before="0" w:after="0"/>
        <w:ind w:firstLine="567"/>
        <w:rPr>
          <w:rFonts w:ascii="Times New Roman" w:hAnsi="Times New Roman"/>
          <w:b/>
          <w:b/>
          <w:sz w:val="24"/>
          <w:szCs w:val="24"/>
        </w:rPr>
      </w:pPr>
      <w:bookmarkStart w:id="62" w:name="page179"/>
      <w:bookmarkStart w:id="63" w:name="page179"/>
      <w:bookmarkEnd w:id="63"/>
      <w:r>
        <w:rPr>
          <w:rFonts w:ascii="Times New Roman" w:hAnsi="Times New Roman"/>
          <w:b/>
          <w:sz w:val="24"/>
          <w:szCs w:val="24"/>
        </w:rPr>
      </w:r>
    </w:p>
    <w:p>
      <w:pPr>
        <w:pStyle w:val="Normal"/>
        <w:widowControl w:val="false"/>
        <w:overflowPunct w:val="true"/>
        <w:spacing w:lineRule="auto" w:line="240" w:before="0" w:after="0"/>
        <w:ind w:firstLine="567"/>
        <w:rPr>
          <w:rFonts w:ascii="Times New Roman" w:hAnsi="Times New Roman"/>
          <w:b/>
          <w:b/>
          <w:sz w:val="24"/>
          <w:szCs w:val="24"/>
        </w:rPr>
      </w:pPr>
      <w:r>
        <w:rPr>
          <w:rFonts w:ascii="Times New Roman" w:hAnsi="Times New Roman"/>
          <w:b/>
          <w:sz w:val="24"/>
          <w:szCs w:val="24"/>
        </w:rPr>
        <w:t>2.3. Перспективные балансы тепловой мощности источников тепловой энергии и тепловой нагрузки</w:t>
      </w:r>
    </w:p>
    <w:p>
      <w:pPr>
        <w:pStyle w:val="Normal"/>
        <w:widowControl w:val="false"/>
        <w:overflowPunct w:val="true"/>
        <w:spacing w:lineRule="auto" w:line="240" w:before="0" w:after="0"/>
        <w:ind w:firstLine="567"/>
        <w:rPr>
          <w:rFonts w:ascii="Times New Roman" w:hAnsi="Times New Roman"/>
          <w:b/>
          <w:b/>
          <w:sz w:val="24"/>
          <w:szCs w:val="24"/>
        </w:rPr>
      </w:pPr>
      <w:r>
        <w:rPr>
          <w:rFonts w:ascii="Times New Roman" w:hAnsi="Times New Roman"/>
          <w:b/>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 с. Азей теплоснабжение разделяется на две условные зоны – зона централизованного теплоснабжения котельной и зона индивидуального теплоснабжения.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Существующая зона централизованного теплоснабжения располагается в части центральной зоны села, где расположены административно–общественные здания.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 запада располагаются зоны индивидуального теплоснабжения (с котлами на твердом топливе). </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t>Таблица 2.12. – Перспективные тепловые нагрузки с. Азей</w:t>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tbl>
      <w:tblPr>
        <w:tblW w:w="9931"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984"/>
        <w:gridCol w:w="709"/>
        <w:gridCol w:w="708"/>
        <w:gridCol w:w="709"/>
        <w:gridCol w:w="900"/>
        <w:gridCol w:w="899"/>
        <w:gridCol w:w="900"/>
        <w:gridCol w:w="1"/>
        <w:gridCol w:w="959"/>
        <w:gridCol w:w="1079"/>
        <w:gridCol w:w="1082"/>
      </w:tblGrid>
      <w:tr>
        <w:trPr>
          <w:trHeight w:val="860" w:hRule="atLeast"/>
        </w:trPr>
        <w:tc>
          <w:tcPr>
            <w:tcW w:w="1984"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Источник</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Располагаемая</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мощность, Гкал/час</w:t>
            </w:r>
          </w:p>
        </w:tc>
        <w:tc>
          <w:tcPr>
            <w:tcW w:w="2700" w:type="dxa"/>
            <w:gridSpan w:val="4"/>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Тепловая нагрузка,</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Резерв (+), дефицит (-)</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располагаемой мощности</w:t>
            </w:r>
          </w:p>
        </w:tc>
      </w:tr>
      <w:tr>
        <w:trPr>
          <w:trHeight w:val="322" w:hRule="atLeast"/>
        </w:trPr>
        <w:tc>
          <w:tcPr>
            <w:tcW w:w="1984"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708"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89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c>
          <w:tcPr>
            <w:tcW w:w="960" w:type="dxa"/>
            <w:gridSpan w:val="2"/>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107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1082"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r>
      <w:tr>
        <w:trPr>
          <w:trHeight w:val="100"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8"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89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7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8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615" w:hRule="atLeast"/>
        </w:trPr>
        <w:tc>
          <w:tcPr>
            <w:tcW w:w="1984"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Зона</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теплоснабжения</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0,7</w:t>
            </w:r>
          </w:p>
        </w:tc>
        <w:tc>
          <w:tcPr>
            <w:tcW w:w="89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1,51</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1,36</w:t>
            </w:r>
          </w:p>
        </w:tc>
        <w:tc>
          <w:tcPr>
            <w:tcW w:w="960" w:type="dxa"/>
            <w:gridSpan w:val="2"/>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+0,64</w:t>
            </w:r>
          </w:p>
        </w:tc>
      </w:tr>
      <w:tr>
        <w:trPr>
          <w:trHeight w:val="481" w:hRule="atLeast"/>
        </w:trPr>
        <w:tc>
          <w:tcPr>
            <w:tcW w:w="198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89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960" w:type="dxa"/>
            <w:gridSpan w:val="2"/>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07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082"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r>
      <w:tr>
        <w:trPr>
          <w:trHeight w:val="302" w:hRule="atLeast"/>
        </w:trPr>
        <w:tc>
          <w:tcPr>
            <w:tcW w:w="1984" w:type="dxa"/>
            <w:tcBorders>
              <w:top w:val="single" w:sz="4"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Итого</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708"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6,0</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2,7</w:t>
            </w:r>
          </w:p>
        </w:tc>
        <w:tc>
          <w:tcPr>
            <w:tcW w:w="89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4,01</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5,36</w:t>
            </w:r>
          </w:p>
        </w:tc>
        <w:tc>
          <w:tcPr>
            <w:tcW w:w="960" w:type="dxa"/>
            <w:gridSpan w:val="2"/>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+0,64</w:t>
            </w:r>
          </w:p>
        </w:tc>
      </w:tr>
      <w:tr>
        <w:trPr>
          <w:trHeight w:val="146"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89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7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Резерв (дефицит) существующей располагаемой тепловой мощности котельной при обеспечении перспективных тепловых нагрузок с. Азей представлен в таблице 3.1.</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Как видно из таблицы 3.1, при обеспечении перспективной тепловой нагрузки в с. Азей на первую очередь и на расчетный срок строительства в зоне действия котельной дефицита тепловой мощности не образуется.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Существующая система централизованного теплоснабжения с. Азей сможет покрыть тепловую нагрузку перспективных потребителей тепловой энергии тепловой мощностью не более 1 Гкал/час,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Для обеспечения теплом новой индивидуальной жилой застройки, учитывая её малую плотность, требуется установка индивидуальных теплогенераторов суммарной тепловой мощностью на 2025 год – 4,5 Гкал/час, 2032 год – 6,0 Гкал/час.</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Для обеспечения теплом административно-общественных зданий схемой рассматривается подключение их к существующим сетям теплоснабжения.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Таблица 2.13.  – Существующие и перспективные расходы теплоносителя в тепловых сетях котельной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tbl>
      <w:tblPr>
        <w:tblW w:w="1006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820"/>
        <w:gridCol w:w="1279"/>
        <w:gridCol w:w="1980"/>
        <w:gridCol w:w="1981"/>
      </w:tblGrid>
      <w:tr>
        <w:trPr>
          <w:trHeight w:val="66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Наименования параметра</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2012 год</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Первая очередь</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(до 2025 года)</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Расчетный срок</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(до 2032 года)</w:t>
            </w:r>
          </w:p>
        </w:tc>
      </w:tr>
      <w:tr>
        <w:trPr>
          <w:trHeight w:val="550"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Максимальная тепловая нагрузка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 тепла, Гкал/час</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2,7</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4,01</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5,36</w:t>
            </w:r>
          </w:p>
        </w:tc>
      </w:tr>
      <w:tr>
        <w:trPr>
          <w:trHeight w:val="558"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Максимальный расход 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 тепла, т/ч</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92</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123</w:t>
            </w:r>
          </w:p>
        </w:tc>
      </w:tr>
      <w:tr>
        <w:trPr>
          <w:trHeight w:val="566"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Температурный график, </w:t>
            </w:r>
            <w:r>
              <w:rPr>
                <w:rFonts w:ascii="Times New Roman" w:hAnsi="Times New Roman"/>
                <w:sz w:val="24"/>
                <w:szCs w:val="24"/>
                <w:vertAlign w:val="superscript"/>
              </w:rPr>
              <w:t>0</w:t>
            </w:r>
            <w:r>
              <w:rPr>
                <w:rFonts w:ascii="Times New Roman" w:hAnsi="Times New Roman"/>
                <w:sz w:val="24"/>
                <w:szCs w:val="24"/>
              </w:rPr>
              <w:t>С</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r>
    </w:tbl>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Как видно из таблицы 3.5, при увеличение перспективной тепловой нагрузки с 2,7 до 5,36 Гкал/час,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 расход теплоносителя через котельную увеличится с 62 до 123 т/ч в 2032 году, необходима значительная реконструкция тепловых сетей.</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t xml:space="preserve">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 с. Азей запроектирована и действует открытая схема теплоснабжения,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из централизованного водоснабжения.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Перспективные балансы тепловой энергии в составе Схемы приняты на основании данных генерального плана Азейского сельского поселения. На основании данных генерального плана и в соответствии со СНиП 41-02-2003 «Тепловые сети» определена величина перспективной подпитки тепловых сетей в номинальном и аварийном режиме на котельной.</w:t>
      </w:r>
    </w:p>
    <w:p>
      <w:pPr>
        <w:sectPr>
          <w:footerReference w:type="default" r:id="rId22"/>
          <w:type w:val="nextPage"/>
          <w:pgSz w:w="11906" w:h="16838"/>
          <w:pgMar w:left="1134" w:right="418" w:header="0" w:top="567" w:footer="720" w:bottom="777" w:gutter="0"/>
          <w:pgNumType w:fmt="decimal"/>
          <w:formProt w:val="false"/>
          <w:textDirection w:val="lrTb"/>
          <w:docGrid w:type="default" w:linePitch="100" w:charSpace="4096"/>
        </w:sect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Перспективные балансы расхода теплоносителя, нормативной и аварийной величины подпитки тепловых сетей в зоне теплоснабжения котельной указаны в таблице 2.14.</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Таблица 2.14. – Перспективные балансы расхода теплоносителя, нормативной и аварийной величины подпитки тепловых сетей при первом варианте развития теплоснабжения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tbl>
      <w:tblPr>
        <w:tblW w:w="10490" w:type="dxa"/>
        <w:jc w:val="left"/>
        <w:tblInd w:w="10" w:type="dxa"/>
        <w:tblBorders>
          <w:top w:val="single" w:sz="8" w:space="0" w:color="00000A"/>
          <w:left w:val="single" w:sz="8" w:space="0" w:color="00000A"/>
          <w:right w:val="single" w:sz="4" w:space="0" w:color="00000A"/>
          <w:insideV w:val="single" w:sz="4" w:space="0" w:color="00000A"/>
        </w:tblBorders>
        <w:tblCellMar>
          <w:top w:w="0" w:type="dxa"/>
          <w:left w:w="-10" w:type="dxa"/>
          <w:bottom w:w="0" w:type="dxa"/>
          <w:right w:w="0" w:type="dxa"/>
        </w:tblCellMar>
        <w:tblLook w:firstRow="0" w:noVBand="0" w:lastRow="0" w:firstColumn="0" w:lastColumn="0" w:noHBand="0" w:val="0000"/>
      </w:tblPr>
      <w:tblGrid>
        <w:gridCol w:w="1843"/>
        <w:gridCol w:w="1558"/>
        <w:gridCol w:w="1701"/>
        <w:gridCol w:w="1418"/>
        <w:gridCol w:w="1179"/>
        <w:gridCol w:w="1231"/>
        <w:gridCol w:w="1559"/>
      </w:tblGrid>
      <w:tr>
        <w:trPr>
          <w:trHeight w:val="702" w:hRule="atLeast"/>
        </w:trPr>
        <w:tc>
          <w:tcPr>
            <w:tcW w:w="1843" w:type="dxa"/>
            <w:vMerge w:val="restart"/>
            <w:tcBorders>
              <w:top w:val="single" w:sz="8" w:space="0" w:color="00000A"/>
              <w:left w:val="single" w:sz="8" w:space="0" w:color="00000A"/>
              <w:right w:val="single" w:sz="4" w:space="0" w:color="00000A"/>
              <w:insideV w:val="single" w:sz="4"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Зона действия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источников</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теплоснабжения</w:t>
            </w:r>
          </w:p>
        </w:tc>
        <w:tc>
          <w:tcPr>
            <w:tcW w:w="4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Показатели при перспективных тепловых</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нагрузках на расчетный срок строительства</w:t>
            </w:r>
          </w:p>
        </w:tc>
        <w:tc>
          <w:tcPr>
            <w:tcW w:w="1179"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Расход</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воды для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ТС, м</w:t>
            </w:r>
            <w:r>
              <w:rPr>
                <w:rFonts w:ascii="Times New Roman" w:hAnsi="Times New Roman"/>
                <w:b/>
                <w:sz w:val="24"/>
                <w:szCs w:val="24"/>
                <w:vertAlign w:val="superscript"/>
              </w:rPr>
              <w:t>3</w:t>
            </w:r>
            <w:r>
              <w:rPr>
                <w:rFonts w:ascii="Times New Roman" w:hAnsi="Times New Roman"/>
                <w:b/>
                <w:sz w:val="24"/>
                <w:szCs w:val="24"/>
              </w:rPr>
              <w:t>/ч</w:t>
            </w:r>
          </w:p>
        </w:tc>
        <w:tc>
          <w:tcPr>
            <w:tcW w:w="1231" w:type="dxa"/>
            <w:vMerge w:val="restart"/>
            <w:tcBorders>
              <w:top w:val="single" w:sz="8" w:space="0" w:color="00000A"/>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Аварийная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величина</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 ТС,</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/ч</w:t>
            </w:r>
          </w:p>
        </w:tc>
        <w:tc>
          <w:tcPr>
            <w:tcW w:w="1559" w:type="dxa"/>
            <w:vMerge w:val="restart"/>
            <w:tcBorders>
              <w:top w:val="single" w:sz="8" w:space="0" w:color="00000A"/>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Годовой расход</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воды для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 ТС,</w:t>
            </w:r>
          </w:p>
          <w:p>
            <w:pPr>
              <w:pStyle w:val="Normal"/>
              <w:widowControl w:val="false"/>
              <w:spacing w:lineRule="auto" w:line="240" w:before="0" w:after="0"/>
              <w:ind w:firstLine="567"/>
              <w:jc w:val="center"/>
              <w:rPr>
                <w:rFonts w:ascii="Times New Roman" w:hAnsi="Times New Roman"/>
                <w:b/>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/год</w:t>
            </w:r>
          </w:p>
        </w:tc>
      </w:tr>
      <w:tr>
        <w:trPr>
          <w:trHeight w:val="146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558" w:type="dxa"/>
            <w:tcBorders>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Максимальная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тепловая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нагрузка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Гкал/час</w:t>
            </w:r>
          </w:p>
        </w:tc>
        <w:tc>
          <w:tcPr>
            <w:tcW w:w="1701" w:type="dxa"/>
            <w:tcBorders>
              <w:right w:val="single" w:sz="4"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Максимальный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расход</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тепла, т/ч</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Объем</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в ТС, м</w:t>
            </w:r>
            <w:r>
              <w:rPr>
                <w:rFonts w:ascii="Times New Roman" w:hAnsi="Times New Roman"/>
                <w:sz w:val="24"/>
                <w:szCs w:val="24"/>
                <w:vertAlign w:val="superscript"/>
              </w:rPr>
              <w:t>3</w:t>
            </w:r>
          </w:p>
        </w:tc>
        <w:tc>
          <w:tcPr>
            <w:tcW w:w="1179"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31" w:type="dxa"/>
            <w:vMerge w:val="continue"/>
            <w:tcBorders>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559" w:type="dxa"/>
            <w:vMerge w:val="continue"/>
            <w:tcBorders>
              <w:right w:val="single" w:sz="8" w:space="0" w:color="00000A"/>
              <w:insideV w:val="single" w:sz="8" w:space="0" w:color="00000A"/>
            </w:tcBorders>
            <w:shd w:fill="auto" w:val="clear"/>
            <w:vAlign w:val="center"/>
          </w:tcPr>
          <w:p>
            <w:pPr>
              <w:pStyle w:val="Normal"/>
              <w:widowControl w:val="false"/>
              <w:spacing w:lineRule="auto" w:line="240" w:before="0" w:after="0"/>
              <w:ind w:firstLine="567"/>
              <w:jc w:val="center"/>
              <w:rPr>
                <w:rFonts w:ascii="Times New Roman" w:hAnsi="Times New Roman"/>
                <w:sz w:val="24"/>
                <w:szCs w:val="24"/>
              </w:rPr>
            </w:pPr>
            <w:r>
              <w:rPr>
                <w:rFonts w:ascii="Times New Roman" w:hAnsi="Times New Roman"/>
                <w:sz w:val="24"/>
                <w:szCs w:val="24"/>
              </w:rPr>
            </w:r>
          </w:p>
        </w:tc>
      </w:tr>
      <w:tr>
        <w:trPr>
          <w:trHeight w:val="636"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Зона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теплоснабжения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котельной</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5,36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123</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322,7</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2,42</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67"/>
              <w:jc w:val="center"/>
              <w:rPr>
                <w:rFonts w:ascii="Times New Roman" w:hAnsi="Times New Roman"/>
                <w:sz w:val="24"/>
                <w:szCs w:val="24"/>
              </w:rPr>
            </w:pPr>
            <w:r>
              <w:rPr>
                <w:rFonts w:ascii="Times New Roman" w:hAnsi="Times New Roman"/>
                <w:sz w:val="24"/>
                <w:szCs w:val="24"/>
              </w:rPr>
              <w:t>14346</w:t>
            </w:r>
          </w:p>
        </w:tc>
      </w:tr>
    </w:tbl>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t>Объем подпитки определен в соответствии с СНиП 41-02-2003 п. 6.16и 6.18.</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Объём теплоносителя в тепловых сетях новой котельной принят из расчета 70 м3 на1 МВт тепловой мощности потребления, расход воды на подпитку 0,75% от объема воды в системе.</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При реконструкции котельной рекомендуется установка ВПУ производительностью 5-6 м</w:t>
      </w:r>
      <w:r>
        <w:rPr>
          <w:rFonts w:ascii="Times New Roman" w:hAnsi="Times New Roman"/>
          <w:sz w:val="24"/>
          <w:szCs w:val="24"/>
          <w:vertAlign w:val="superscript"/>
        </w:rPr>
        <w:t>3</w:t>
      </w:r>
      <w:r>
        <w:rPr>
          <w:rFonts w:ascii="Times New Roman" w:hAnsi="Times New Roman"/>
          <w:sz w:val="24"/>
          <w:szCs w:val="24"/>
        </w:rPr>
        <w:t>/ч.</w:t>
      </w:r>
    </w:p>
    <w:p>
      <w:pPr>
        <w:pStyle w:val="Normal"/>
        <w:widowControl w:val="fals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567"/>
        <w:jc w:val="both"/>
        <w:rPr>
          <w:rFonts w:ascii="Times New Roman" w:hAnsi="Times New Roman"/>
          <w:b/>
          <w:b/>
          <w:sz w:val="24"/>
          <w:szCs w:val="24"/>
        </w:rPr>
      </w:pPr>
      <w:r>
        <w:rPr>
          <w:rFonts w:ascii="Times New Roman" w:hAnsi="Times New Roman"/>
          <w:b/>
          <w:sz w:val="24"/>
          <w:szCs w:val="24"/>
        </w:rPr>
        <w:t>2.5. Предложения по строительству, реконструкции и техническому перевооружению источников тепловой энергии</w:t>
      </w:r>
    </w:p>
    <w:p>
      <w:pPr>
        <w:pStyle w:val="Normal"/>
        <w:widowControl w:val="false"/>
        <w:spacing w:lineRule="auto" w:line="240" w:before="0" w:after="0"/>
        <w:ind w:firstLine="567"/>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t>2.5.1. Определение условий организации централизованного и индивидуального теплоснабжения</w:t>
      </w:r>
    </w:p>
    <w:p>
      <w:pPr>
        <w:pStyle w:val="Normal"/>
        <w:widowControl w:val="false"/>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Условиями для подключения перспективных потребителей тепловой энергии к существующим тепловым сетям котельной:</w:t>
      </w:r>
    </w:p>
    <w:p>
      <w:pPr>
        <w:pStyle w:val="Normal"/>
        <w:widowControl w:val="false"/>
        <w:numPr>
          <w:ilvl w:val="0"/>
          <w:numId w:val="5"/>
        </w:numPr>
        <w:tabs>
          <w:tab w:val="left" w:pos="897" w:leader="none"/>
        </w:tabs>
        <w:overflowPunct w:val="true"/>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расположение перспективных потребителей тепловой энергии вблизи котельной; </w:t>
      </w:r>
    </w:p>
    <w:p>
      <w:pPr>
        <w:pStyle w:val="Normal"/>
        <w:widowControl w:val="false"/>
        <w:numPr>
          <w:ilvl w:val="0"/>
          <w:numId w:val="5"/>
        </w:numPr>
        <w:tabs>
          <w:tab w:val="left" w:pos="998" w:leader="none"/>
        </w:tabs>
        <w:overflowPunct w:val="true"/>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наличие на источнике тепловой энергии необходимой тепловой мощности для покрытия тепловой нагрузки потребителей тепловой энергии. </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Главным условием при строительстве новых источников тепловой энергии является расположения котельной в центре перспективных тепловых нагрузок.</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pPr>
        <w:pStyle w:val="Style29"/>
        <w:spacing w:before="0" w:after="0"/>
        <w:rPr>
          <w:sz w:val="24"/>
        </w:rPr>
      </w:pPr>
      <w:r>
        <w:rPr>
          <w:sz w:val="24"/>
        </w:rPr>
        <w:t>Во всех вариантах развития теплоснабжения с. Азей планируется:</w:t>
      </w:r>
    </w:p>
    <w:p>
      <w:pPr>
        <w:pStyle w:val="Style29"/>
        <w:spacing w:before="0" w:after="0"/>
        <w:rPr>
          <w:sz w:val="24"/>
        </w:rPr>
      </w:pPr>
      <w:r>
        <w:rPr>
          <w:sz w:val="24"/>
        </w:rPr>
        <w:t>-</w:t>
        <w:tab/>
        <w:tab/>
        <w:t xml:space="preserve">сохранение существующей зоны действия индивидуального теплоснабжения; </w:t>
      </w:r>
    </w:p>
    <w:p>
      <w:pPr>
        <w:pStyle w:val="Style29"/>
        <w:spacing w:before="0" w:after="0"/>
        <w:rPr>
          <w:sz w:val="24"/>
        </w:rPr>
      </w:pPr>
      <w:r>
        <w:rPr>
          <w:sz w:val="24"/>
        </w:rPr>
        <w:t xml:space="preserve">- </w:t>
        <w:tab/>
        <w:t>планируемые к строительству индивидуальные жилые дома обеспечить теплом от индивидуальных теплогенераторов, суммарной тепловой мощностью на 2050 год – 2,5 Гкал/час, 2032 год – 4,0 Гкал/час;</w:t>
      </w:r>
    </w:p>
    <w:p>
      <w:pPr>
        <w:pStyle w:val="Style29"/>
        <w:spacing w:before="0" w:after="0"/>
        <w:rPr>
          <w:sz w:val="24"/>
        </w:rPr>
      </w:pPr>
      <w:r>
        <w:rPr>
          <w:sz w:val="24"/>
        </w:rPr>
        <w:t xml:space="preserve">- </w:t>
        <w:tab/>
        <w:t>теплоснабжение планируемого к строительству детского сада; 0,21 Гкал/час;</w:t>
      </w:r>
    </w:p>
    <w:p>
      <w:pPr>
        <w:pStyle w:val="Style29"/>
        <w:spacing w:before="0" w:after="0"/>
        <w:rPr>
          <w:sz w:val="24"/>
        </w:rPr>
      </w:pPr>
      <w:r>
        <w:rPr>
          <w:sz w:val="24"/>
        </w:rPr>
        <w:t>-</w:t>
        <w:tab/>
        <w:tab/>
        <w:t>теплоснабжение планируемого к строительству спортивного зала; 0,11 Гкал/ч;</w:t>
      </w:r>
    </w:p>
    <w:p>
      <w:pPr>
        <w:pStyle w:val="Style29"/>
        <w:spacing w:before="0" w:after="0"/>
        <w:rPr>
          <w:sz w:val="24"/>
        </w:rPr>
      </w:pPr>
      <w:r>
        <w:rPr>
          <w:sz w:val="24"/>
        </w:rPr>
        <w:t>-</w:t>
        <w:tab/>
        <w:tab/>
        <w:t>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pPr>
        <w:pStyle w:val="Style29"/>
        <w:spacing w:before="0" w:after="0"/>
        <w:rPr>
          <w:b/>
          <w:b/>
          <w:sz w:val="24"/>
        </w:rPr>
      </w:pPr>
      <w:r>
        <w:rPr>
          <w:b/>
          <w:sz w:val="24"/>
        </w:rPr>
      </w:r>
    </w:p>
    <w:p>
      <w:pPr>
        <w:pStyle w:val="Style29"/>
        <w:spacing w:before="0" w:after="0"/>
        <w:rPr>
          <w:b/>
          <w:b/>
          <w:sz w:val="24"/>
        </w:rPr>
      </w:pPr>
      <w:r>
        <w:rPr>
          <w:b/>
          <w:sz w:val="24"/>
        </w:rPr>
        <w:t>2.5.2  Первый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pPr>
        <w:pStyle w:val="Style29"/>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pPr>
        <w:pStyle w:val="Style29"/>
        <w:spacing w:before="0" w:after="0"/>
        <w:rPr>
          <w:sz w:val="24"/>
        </w:rPr>
      </w:pPr>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4.1.</w:t>
      </w:r>
    </w:p>
    <w:p>
      <w:pPr>
        <w:pStyle w:val="Style29"/>
        <w:spacing w:before="0" w:after="0"/>
        <w:rPr>
          <w:sz w:val="24"/>
        </w:rPr>
      </w:pPr>
      <w:r>
        <w:rPr>
          <w:sz w:val="24"/>
        </w:rPr>
      </w:r>
    </w:p>
    <w:p>
      <w:pPr>
        <w:pStyle w:val="Style29"/>
        <w:spacing w:before="0" w:after="0"/>
        <w:rPr>
          <w:sz w:val="24"/>
        </w:rPr>
      </w:pPr>
      <w:r>
        <w:rPr>
          <w:sz w:val="24"/>
        </w:rPr>
        <w:t>Таблица 2.15. – Потребители тепловой энергии планируемые построить в первую очередь строительства и подключить к тепловым сетям котельной.</w:t>
      </w:r>
    </w:p>
    <w:p>
      <w:pPr>
        <w:pStyle w:val="Style29"/>
        <w:spacing w:before="0" w:after="0"/>
        <w:rPr>
          <w:sz w:val="24"/>
        </w:rPr>
      </w:pPr>
      <w:r>
        <w:rPr>
          <w:sz w:val="24"/>
        </w:rPr>
      </w:r>
    </w:p>
    <w:tbl>
      <w:tblPr>
        <w:tblW w:w="98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7366"/>
        <w:gridCol w:w="2493"/>
      </w:tblGrid>
      <w:tr>
        <w:trPr>
          <w:trHeight w:val="473" w:hRule="atLeast"/>
        </w:trPr>
        <w:tc>
          <w:tcPr>
            <w:tcW w:w="7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ind w:hanging="5"/>
              <w:jc w:val="center"/>
              <w:rPr>
                <w:b/>
                <w:b/>
                <w:sz w:val="24"/>
              </w:rPr>
            </w:pPr>
            <w:r>
              <w:rPr>
                <w:b/>
                <w:sz w:val="24"/>
              </w:rPr>
              <w:t>Перспективные потребители тепла</w:t>
            </w:r>
          </w:p>
        </w:tc>
        <w:tc>
          <w:tcPr>
            <w:tcW w:w="2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ind w:hanging="0"/>
              <w:jc w:val="center"/>
              <w:rPr>
                <w:b/>
                <w:b/>
                <w:sz w:val="24"/>
              </w:rPr>
            </w:pPr>
            <w:r>
              <w:rPr>
                <w:b/>
                <w:sz w:val="24"/>
              </w:rPr>
              <w:t>Тепловая нагрузка, Гкал/час</w:t>
            </w:r>
          </w:p>
        </w:tc>
      </w:tr>
      <w:tr>
        <w:trPr>
          <w:trHeight w:val="77" w:hRule="atLeast"/>
        </w:trPr>
        <w:tc>
          <w:tcPr>
            <w:tcW w:w="73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Спортивный зал</w:t>
            </w:r>
          </w:p>
        </w:tc>
        <w:tc>
          <w:tcPr>
            <w:tcW w:w="2493" w:type="dxa"/>
            <w:tcBorders>
              <w:top w:val="single" w:sz="4"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0,11</w:t>
            </w:r>
          </w:p>
        </w:tc>
      </w:tr>
      <w:tr>
        <w:trPr>
          <w:trHeight w:val="67" w:hRule="atLeast"/>
        </w:trPr>
        <w:tc>
          <w:tcPr>
            <w:tcW w:w="7366"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Подключение существующих частных домов к тепловым сетям</w:t>
            </w:r>
          </w:p>
        </w:tc>
        <w:tc>
          <w:tcPr>
            <w:tcW w:w="249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2,99</w:t>
            </w:r>
          </w:p>
        </w:tc>
      </w:tr>
      <w:tr>
        <w:trPr>
          <w:trHeight w:val="67" w:hRule="atLeast"/>
        </w:trPr>
        <w:tc>
          <w:tcPr>
            <w:tcW w:w="7366"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Итого</w:t>
            </w:r>
          </w:p>
        </w:tc>
        <w:tc>
          <w:tcPr>
            <w:tcW w:w="249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3,10</w:t>
            </w:r>
          </w:p>
        </w:tc>
      </w:tr>
    </w:tbl>
    <w:p>
      <w:pPr>
        <w:pStyle w:val="Style29"/>
        <w:spacing w:before="0" w:after="0"/>
        <w:rPr>
          <w:sz w:val="24"/>
        </w:rPr>
      </w:pPr>
      <w:r>
        <w:rPr>
          <w:sz w:val="24"/>
        </w:rPr>
      </w:r>
    </w:p>
    <w:p>
      <w:pPr>
        <w:pStyle w:val="Style29"/>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pPr>
        <w:pStyle w:val="Style29"/>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2.16</w:t>
      </w:r>
    </w:p>
    <w:p>
      <w:pPr>
        <w:pStyle w:val="Style29"/>
        <w:spacing w:before="0" w:after="0"/>
        <w:rPr>
          <w:sz w:val="24"/>
        </w:rPr>
      </w:pPr>
      <w:r>
        <w:rPr>
          <w:sz w:val="24"/>
        </w:rPr>
      </w:r>
    </w:p>
    <w:p>
      <w:pPr>
        <w:pStyle w:val="Style29"/>
        <w:spacing w:before="0" w:after="0"/>
        <w:rPr>
          <w:sz w:val="24"/>
        </w:rPr>
      </w:pPr>
      <w:r>
        <w:rPr>
          <w:sz w:val="24"/>
        </w:rPr>
        <w:t>Таблица 2.16. Потребители тепловой энергии планируемые построить во время расчетного срока строительства и подключить к тепловым сетям.</w:t>
      </w:r>
    </w:p>
    <w:p>
      <w:pPr>
        <w:pStyle w:val="Style29"/>
        <w:spacing w:before="0" w:after="0"/>
        <w:rPr>
          <w:sz w:val="24"/>
        </w:rPr>
      </w:pPr>
      <w:r>
        <w:rPr>
          <w:sz w:val="24"/>
        </w:rPr>
      </w:r>
    </w:p>
    <w:tbl>
      <w:tblPr>
        <w:tblW w:w="9860"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4819"/>
        <w:gridCol w:w="5040"/>
      </w:tblGrid>
      <w:tr>
        <w:trPr>
          <w:trHeight w:val="847" w:hRule="atLeast"/>
        </w:trPr>
        <w:tc>
          <w:tcPr>
            <w:tcW w:w="4819" w:type="dxa"/>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b/>
                <w:b/>
              </w:rPr>
            </w:pPr>
            <w:r>
              <w:rPr>
                <w:b/>
              </w:rPr>
              <w:t>Перспективные потребители тепла</w:t>
            </w:r>
          </w:p>
        </w:tc>
        <w:tc>
          <w:tcPr>
            <w:tcW w:w="5040" w:type="dxa"/>
            <w:tcBorders>
              <w:top w:val="single" w:sz="8" w:space="0" w:color="00000A"/>
              <w:right w:val="single" w:sz="8" w:space="0" w:color="00000A"/>
              <w:insideV w:val="single" w:sz="8" w:space="0" w:color="00000A"/>
            </w:tcBorders>
            <w:shd w:fill="auto" w:val="clear"/>
            <w:vAlign w:val="center"/>
          </w:tcPr>
          <w:p>
            <w:pPr>
              <w:pStyle w:val="Style32"/>
              <w:rPr>
                <w:b/>
                <w:b/>
              </w:rPr>
            </w:pPr>
            <w:r>
              <w:rPr>
                <w:b/>
              </w:rPr>
              <w:t>Тепловая нагрузка, Гкал/час</w:t>
            </w:r>
          </w:p>
        </w:tc>
      </w:tr>
      <w:tr>
        <w:trPr>
          <w:trHeight w:val="547" w:hRule="atLeast"/>
        </w:trPr>
        <w:tc>
          <w:tcPr>
            <w:tcW w:w="4819"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32"/>
              <w:rPr/>
            </w:pPr>
            <w:r>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t>1</w:t>
            </w:r>
          </w:p>
        </w:tc>
      </w:tr>
      <w:tr>
        <w:trPr>
          <w:trHeight w:val="268" w:hRule="atLeast"/>
        </w:trPr>
        <w:tc>
          <w:tcPr>
            <w:tcW w:w="48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32"/>
              <w:rPr/>
            </w:pPr>
            <w:r>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t>0,35</w:t>
            </w:r>
          </w:p>
        </w:tc>
      </w:tr>
      <w:tr>
        <w:trPr>
          <w:trHeight w:val="268" w:hRule="atLeast"/>
        </w:trPr>
        <w:tc>
          <w:tcPr>
            <w:tcW w:w="481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t>Итого</w:t>
            </w:r>
          </w:p>
        </w:tc>
        <w:tc>
          <w:tcPr>
            <w:tcW w:w="5040"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1,35</w:t>
            </w:r>
          </w:p>
        </w:tc>
      </w:tr>
    </w:tbl>
    <w:p>
      <w:pPr>
        <w:pStyle w:val="Style29"/>
        <w:spacing w:before="0" w:after="0"/>
        <w:rPr>
          <w:sz w:val="24"/>
        </w:rPr>
      </w:pPr>
      <w:r>
        <w:rPr>
          <w:sz w:val="24"/>
        </w:rPr>
      </w:r>
    </w:p>
    <w:p>
      <w:pPr>
        <w:pStyle w:val="Style29"/>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pPr>
        <w:pStyle w:val="Style29"/>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pPr>
        <w:pStyle w:val="Style29"/>
        <w:spacing w:before="0" w:after="0"/>
        <w:rPr>
          <w:sz w:val="24"/>
        </w:rPr>
      </w:pPr>
      <w:r>
        <w:rPr>
          <w:sz w:val="24"/>
        </w:rPr>
      </w:r>
    </w:p>
    <w:p>
      <w:pPr>
        <w:pStyle w:val="Style29"/>
        <w:spacing w:before="0" w:after="0"/>
        <w:rPr>
          <w:b/>
          <w:b/>
          <w:sz w:val="24"/>
        </w:rPr>
      </w:pPr>
      <w:r>
        <w:rPr>
          <w:b/>
          <w:sz w:val="24"/>
        </w:rPr>
        <w:t>2.5.3. Второй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pPr>
        <w:pStyle w:val="Style29"/>
        <w:spacing w:before="0" w:after="0"/>
        <w:rPr>
          <w:sz w:val="24"/>
        </w:rPr>
      </w:pPr>
      <w:r>
        <w:rPr>
          <w:sz w:val="24"/>
        </w:rPr>
        <w:t>На первом этапе планируется:</w:t>
      </w:r>
    </w:p>
    <w:p>
      <w:pPr>
        <w:pStyle w:val="Style29"/>
        <w:spacing w:before="0" w:after="0"/>
        <w:rPr>
          <w:sz w:val="24"/>
        </w:rPr>
      </w:pPr>
      <w:r>
        <w:rPr>
          <w:sz w:val="24"/>
        </w:rPr>
        <w:t>-</w:t>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pPr>
        <w:pStyle w:val="Style29"/>
        <w:spacing w:before="0" w:after="0"/>
        <w:rPr>
          <w:sz w:val="24"/>
        </w:rPr>
      </w:pPr>
      <w:r>
        <w:rPr>
          <w:sz w:val="24"/>
        </w:rPr>
        <w:t>-</w:t>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pPr>
        <w:pStyle w:val="Style29"/>
        <w:spacing w:before="0" w:after="0"/>
        <w:rPr>
          <w:sz w:val="24"/>
        </w:rPr>
      </w:pPr>
      <w:r>
        <w:rPr>
          <w:sz w:val="24"/>
        </w:rPr>
        <w:t>-</w:t>
        <w:tab/>
        <w:t>сохранение индивидуальных источников теплоснабжения потребителей, не подключенных к центральной сети,</w:t>
      </w:r>
    </w:p>
    <w:p>
      <w:pPr>
        <w:pStyle w:val="Style29"/>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pPr>
        <w:pStyle w:val="Style29"/>
        <w:spacing w:before="0" w:after="0"/>
        <w:rPr>
          <w:sz w:val="24"/>
        </w:rPr>
      </w:pPr>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 мм, от действующей котельной  до перспективных площадок планируемых к освоению с 2025 года.</w:t>
      </w:r>
    </w:p>
    <w:p>
      <w:pPr>
        <w:pStyle w:val="Style29"/>
        <w:spacing w:before="0" w:after="0"/>
        <w:rPr>
          <w:sz w:val="24"/>
        </w:rPr>
      </w:pPr>
      <w:r>
        <w:rPr>
          <w:sz w:val="24"/>
        </w:rPr>
      </w:r>
    </w:p>
    <w:p>
      <w:pPr>
        <w:pStyle w:val="Style29"/>
        <w:spacing w:before="0" w:after="0"/>
        <w:rPr>
          <w:b/>
          <w:b/>
          <w:sz w:val="24"/>
        </w:rPr>
      </w:pPr>
      <w:r>
        <w:rPr>
          <w:b/>
          <w:sz w:val="24"/>
        </w:rPr>
        <w:t>2.5.4. Предложения по строительству источников тепловой энергии в д. Нюра</w:t>
      </w:r>
    </w:p>
    <w:p>
      <w:pPr>
        <w:pStyle w:val="Style29"/>
        <w:spacing w:before="0" w:after="0"/>
        <w:rPr>
          <w:b/>
          <w:b/>
          <w:sz w:val="24"/>
        </w:rPr>
      </w:pPr>
      <w:r>
        <w:rPr>
          <w:b/>
          <w:sz w:val="24"/>
        </w:rPr>
      </w:r>
    </w:p>
    <w:p>
      <w:pPr>
        <w:pStyle w:val="Style29"/>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pPr>
        <w:pStyle w:val="Style29"/>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выберем именно этот вариант.</w:t>
      </w:r>
    </w:p>
    <w:p>
      <w:pPr>
        <w:pStyle w:val="Style29"/>
        <w:spacing w:before="0" w:after="0"/>
        <w:rPr>
          <w:sz w:val="24"/>
        </w:rPr>
      </w:pPr>
      <w:r>
        <w:rPr>
          <w:sz w:val="24"/>
        </w:rPr>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t>2.6. Предложения по новому строительству и реконструкции тепловых сетей и сооружений на них</w:t>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Style29"/>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Style29"/>
        <w:spacing w:before="0" w:after="0"/>
        <w:ind w:firstLine="426"/>
        <w:rPr>
          <w:b/>
          <w:b/>
          <w:sz w:val="24"/>
        </w:rPr>
      </w:pPr>
      <w:r>
        <w:rPr>
          <w:b/>
          <w:sz w:val="24"/>
        </w:rPr>
        <w:t>2.6.1. Предложение по строительству и реконструкции тепловых сетей с. Азей</w:t>
      </w:r>
    </w:p>
    <w:p>
      <w:pPr>
        <w:pStyle w:val="Style29"/>
        <w:spacing w:before="0" w:after="0"/>
        <w:ind w:firstLine="426"/>
        <w:rPr>
          <w:b/>
          <w:b/>
          <w:sz w:val="24"/>
        </w:rPr>
      </w:pPr>
      <w:r>
        <w:rPr>
          <w:b/>
          <w:sz w:val="24"/>
        </w:rPr>
      </w:r>
    </w:p>
    <w:p>
      <w:pPr>
        <w:pStyle w:val="Style29"/>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pPr>
        <w:pStyle w:val="Style29"/>
        <w:spacing w:before="0" w:after="0"/>
        <w:ind w:firstLine="426"/>
        <w:rPr>
          <w:sz w:val="24"/>
        </w:rPr>
      </w:pPr>
      <w:r>
        <w:rPr>
          <w:sz w:val="24"/>
        </w:rPr>
        <w:t xml:space="preserve">Предложения по строительству тепловых сетей с. Азей приведены в таблице 2.17. </w:t>
      </w:r>
    </w:p>
    <w:p>
      <w:pPr>
        <w:pStyle w:val="Style29"/>
        <w:spacing w:before="0" w:after="0"/>
        <w:rPr>
          <w:sz w:val="24"/>
        </w:rPr>
      </w:pPr>
      <w:r>
        <w:rPr>
          <w:sz w:val="24"/>
        </w:rPr>
      </w:r>
    </w:p>
    <w:p>
      <w:pPr>
        <w:pStyle w:val="Style29"/>
        <w:spacing w:before="0" w:after="0"/>
        <w:rPr>
          <w:sz w:val="24"/>
        </w:rPr>
      </w:pPr>
      <w:r>
        <w:rPr>
          <w:sz w:val="24"/>
        </w:rPr>
        <w:t>Таблица 2.17. Предложения по строительству тепловых сетей в с. Азей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387"/>
        <w:gridCol w:w="7"/>
        <w:gridCol w:w="1842"/>
        <w:gridCol w:w="1277"/>
        <w:gridCol w:w="1845"/>
        <w:gridCol w:w="1560"/>
      </w:tblGrid>
      <w:tr>
        <w:trPr>
          <w:trHeight w:val="811" w:hRule="atLeast"/>
        </w:trPr>
        <w:tc>
          <w:tcPr>
            <w:tcW w:w="33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Цели строительства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Наименование</w:t>
            </w:r>
          </w:p>
          <w:p>
            <w:pPr>
              <w:pStyle w:val="Style32"/>
              <w:rPr>
                <w:b/>
                <w:b/>
              </w:rPr>
            </w:pPr>
            <w:r>
              <w:rPr>
                <w:b/>
              </w:rPr>
              <w:t>магистрали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Тип</w:t>
            </w:r>
          </w:p>
          <w:p>
            <w:pPr>
              <w:pStyle w:val="Style32"/>
              <w:rPr>
                <w:b/>
                <w:b/>
              </w:rPr>
            </w:pPr>
            <w:r>
              <w:rPr>
                <w:b/>
              </w:rPr>
              <w:t>прокладки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Диаметр</w:t>
            </w:r>
          </w:p>
          <w:p>
            <w:pPr>
              <w:pStyle w:val="Style32"/>
              <w:rPr>
                <w:b/>
                <w:b/>
              </w:rPr>
            </w:pPr>
            <w:r>
              <w:rPr>
                <w:b/>
              </w:rPr>
              <w:t>участка, Dy, мм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Длина</w:t>
            </w:r>
          </w:p>
          <w:p>
            <w:pPr>
              <w:pStyle w:val="Style32"/>
              <w:rPr>
                <w:b/>
                <w:b/>
              </w:rPr>
            </w:pPr>
            <w:r>
              <w:rPr>
                <w:b/>
              </w:rPr>
              <w:t>участка, м</w:t>
            </w:r>
          </w:p>
        </w:tc>
      </w:tr>
      <w:tr>
        <w:trPr>
          <w:trHeight w:val="269"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bCs/>
              </w:rPr>
              <w:t>Первая очередь строительства</w:t>
            </w:r>
          </w:p>
        </w:tc>
      </w:tr>
      <w:tr>
        <w:trPr>
          <w:trHeight w:val="710"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 – СЗ</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280</w:t>
            </w:r>
          </w:p>
        </w:tc>
      </w:tr>
      <w:tr>
        <w:trPr>
          <w:trHeight w:val="423"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bCs/>
              </w:rPr>
              <w:t>Расчетный срок строительства</w:t>
            </w:r>
          </w:p>
        </w:tc>
      </w:tr>
      <w:tr>
        <w:trPr>
          <w:trHeight w:val="543"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1250</w:t>
            </w:r>
          </w:p>
        </w:tc>
      </w:tr>
      <w:tr>
        <w:trPr>
          <w:trHeight w:val="551"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Обеспечения тепловой энергией</w:t>
            </w:r>
          </w:p>
          <w:p>
            <w:pPr>
              <w:pStyle w:val="Style32"/>
              <w:rPr/>
            </w:pPr>
            <w:r>
              <w:rPr/>
              <w:t>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ТК-ПП</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500</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2.7. Перспективные топливные балансы</w:t>
      </w:r>
    </w:p>
    <w:p>
      <w:pPr>
        <w:pStyle w:val="Style29"/>
        <w:spacing w:before="0" w:after="0"/>
        <w:rPr>
          <w:b/>
          <w:b/>
          <w:sz w:val="24"/>
        </w:rPr>
      </w:pPr>
      <w:r>
        <w:rPr>
          <w:b/>
          <w:sz w:val="24"/>
        </w:rPr>
      </w:r>
    </w:p>
    <w:p>
      <w:pPr>
        <w:pStyle w:val="Style29"/>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pPr>
        <w:pStyle w:val="Style29"/>
        <w:spacing w:before="0" w:after="0"/>
        <w:rPr>
          <w:sz w:val="24"/>
        </w:rPr>
      </w:pPr>
      <w:r>
        <w:rPr>
          <w:sz w:val="24"/>
        </w:rPr>
        <w:t>Потребление топлива источниками тепловой энергии с. Азей отображено в таблице 2.18.</w:t>
      </w:r>
    </w:p>
    <w:p>
      <w:pPr>
        <w:pStyle w:val="Style29"/>
        <w:spacing w:before="0" w:after="0"/>
        <w:rPr>
          <w:sz w:val="24"/>
        </w:rPr>
      </w:pPr>
      <w:r>
        <w:rPr>
          <w:sz w:val="24"/>
        </w:rPr>
      </w:r>
    </w:p>
    <w:p>
      <w:pPr>
        <w:pStyle w:val="Style29"/>
        <w:spacing w:before="0" w:after="0"/>
        <w:rPr>
          <w:sz w:val="24"/>
        </w:rPr>
      </w:pPr>
      <w:r>
        <w:rPr>
          <w:sz w:val="24"/>
        </w:rPr>
        <w:t>Таблица 2.18. Перспективные топливные балансы теплоисточников с. Азей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34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134"/>
        <w:gridCol w:w="1418"/>
        <w:gridCol w:w="1700"/>
        <w:gridCol w:w="993"/>
        <w:gridCol w:w="1701"/>
        <w:gridCol w:w="1134"/>
        <w:gridCol w:w="2268"/>
      </w:tblGrid>
      <w:tr>
        <w:trPr>
          <w:trHeight w:val="1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Источник</w:t>
            </w:r>
          </w:p>
          <w:p>
            <w:pPr>
              <w:pStyle w:val="Style32"/>
              <w:rPr>
                <w:b/>
                <w:b/>
              </w:rPr>
            </w:pPr>
            <w:r>
              <w:rPr>
                <w:b/>
              </w:rPr>
              <w:t>тепловой</w:t>
            </w:r>
          </w:p>
          <w:p>
            <w:pPr>
              <w:pStyle w:val="Style32"/>
              <w:rPr>
                <w:b/>
                <w:b/>
              </w:rPr>
            </w:pPr>
            <w:r>
              <w:rPr>
                <w:b/>
              </w:rPr>
              <w:t>энергии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Установленная</w:t>
            </w:r>
          </w:p>
          <w:p>
            <w:pPr>
              <w:pStyle w:val="Style32"/>
              <w:rPr>
                <w:b/>
                <w:b/>
              </w:rPr>
            </w:pPr>
            <w:r>
              <w:rPr>
                <w:b/>
              </w:rPr>
              <w:t>мощность,</w:t>
            </w:r>
          </w:p>
          <w:p>
            <w:pPr>
              <w:pStyle w:val="Style32"/>
              <w:rPr>
                <w:b/>
                <w:b/>
              </w:rPr>
            </w:pPr>
            <w:r>
              <w:rPr>
                <w:b/>
              </w:rPr>
              <w:t>Гкал</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Максимально-</w:t>
            </w:r>
          </w:p>
          <w:p>
            <w:pPr>
              <w:pStyle w:val="Style32"/>
              <w:rPr>
                <w:b/>
                <w:b/>
              </w:rPr>
            </w:pPr>
            <w:r>
              <w:rPr>
                <w:b/>
              </w:rPr>
              <w:t>часовая</w:t>
            </w:r>
          </w:p>
          <w:p>
            <w:pPr>
              <w:pStyle w:val="Style32"/>
              <w:rPr>
                <w:b/>
                <w:b/>
              </w:rPr>
            </w:pPr>
            <w:r>
              <w:rPr>
                <w:b/>
              </w:rPr>
              <w:t>тепловая</w:t>
            </w:r>
          </w:p>
          <w:p>
            <w:pPr>
              <w:pStyle w:val="Style32"/>
              <w:rPr>
                <w:b/>
                <w:b/>
              </w:rPr>
            </w:pPr>
            <w:r>
              <w:rPr>
                <w:b/>
              </w:rPr>
              <w:t>нагрузка,</w:t>
            </w:r>
          </w:p>
          <w:p>
            <w:pPr>
              <w:pStyle w:val="Style32"/>
              <w:rPr>
                <w:b/>
                <w:b/>
              </w:rPr>
            </w:pPr>
            <w:r>
              <w:rPr>
                <w:b/>
              </w:rPr>
              <w:t>Гкал/час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Годовой</w:t>
            </w:r>
          </w:p>
          <w:p>
            <w:pPr>
              <w:pStyle w:val="Style32"/>
              <w:rPr>
                <w:b/>
                <w:b/>
              </w:rPr>
            </w:pPr>
            <w:r>
              <w:rPr>
                <w:b/>
              </w:rPr>
              <w:t>отпуск</w:t>
            </w:r>
          </w:p>
          <w:p>
            <w:pPr>
              <w:pStyle w:val="Style32"/>
              <w:rPr>
                <w:b/>
                <w:b/>
              </w:rPr>
            </w:pPr>
            <w:r>
              <w:rPr>
                <w:b/>
              </w:rPr>
              <w:t>тепла,</w:t>
            </w:r>
          </w:p>
          <w:p>
            <w:pPr>
              <w:pStyle w:val="Style32"/>
              <w:rPr>
                <w:b/>
                <w:b/>
              </w:rPr>
            </w:pPr>
            <w:r>
              <w:rPr>
                <w:b/>
              </w:rPr>
              <w:t>Гкал</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Максимально-</w:t>
            </w:r>
          </w:p>
          <w:p>
            <w:pPr>
              <w:pStyle w:val="Style32"/>
              <w:rPr>
                <w:b/>
                <w:b/>
              </w:rPr>
            </w:pPr>
            <w:r>
              <w:rPr>
                <w:b/>
              </w:rPr>
              <w:t>часовой</w:t>
            </w:r>
          </w:p>
          <w:p>
            <w:pPr>
              <w:pStyle w:val="Style32"/>
              <w:rPr>
                <w:b/>
                <w:b/>
              </w:rPr>
            </w:pPr>
            <w:r>
              <w:rPr>
                <w:b/>
              </w:rPr>
              <w:t>расход</w:t>
            </w:r>
          </w:p>
          <w:p>
            <w:pPr>
              <w:pStyle w:val="Style32"/>
              <w:rPr>
                <w:b/>
                <w:b/>
              </w:rPr>
            </w:pPr>
            <w:r>
              <w:rPr>
                <w:b/>
              </w:rPr>
              <w:t>топлива,</w:t>
            </w:r>
          </w:p>
          <w:p>
            <w:pPr>
              <w:pStyle w:val="Style32"/>
              <w:rPr>
                <w:b/>
                <w:b/>
              </w:rPr>
            </w:pPr>
            <w:r>
              <w:rPr>
                <w:b/>
              </w:rPr>
              <w:t>т.у.т./ч</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Годовой</w:t>
            </w:r>
          </w:p>
          <w:p>
            <w:pPr>
              <w:pStyle w:val="Style32"/>
              <w:rPr>
                <w:b/>
                <w:b/>
              </w:rPr>
            </w:pPr>
            <w:r>
              <w:rPr>
                <w:b/>
              </w:rPr>
              <w:t>расход</w:t>
            </w:r>
          </w:p>
          <w:p>
            <w:pPr>
              <w:pStyle w:val="Style32"/>
              <w:rPr>
                <w:b/>
                <w:b/>
              </w:rPr>
            </w:pPr>
            <w:r>
              <w:rPr>
                <w:b/>
              </w:rPr>
              <w:t>условного</w:t>
            </w:r>
          </w:p>
          <w:p>
            <w:pPr>
              <w:pStyle w:val="Style32"/>
              <w:rPr>
                <w:b/>
                <w:b/>
              </w:rPr>
            </w:pPr>
            <w:r>
              <w:rPr>
                <w:b/>
              </w:rPr>
              <w:t>топлива,</w:t>
            </w:r>
          </w:p>
          <w:p>
            <w:pPr>
              <w:pStyle w:val="Style32"/>
              <w:rPr>
                <w:b/>
                <w:b/>
              </w:rPr>
            </w:pPr>
            <w:r>
              <w:rPr>
                <w:b/>
              </w:rPr>
              <w:t>т.у.т.</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Удельный расход условного топлива на отпуск тепловой</w:t>
            </w:r>
          </w:p>
          <w:p>
            <w:pPr>
              <w:pStyle w:val="Style32"/>
              <w:rPr>
                <w:b/>
                <w:b/>
              </w:rPr>
            </w:pPr>
            <w:r>
              <w:rPr>
                <w:b/>
              </w:rPr>
              <w:t>энергии, кгу.т./Гкал</w:t>
            </w:r>
          </w:p>
        </w:tc>
      </w:tr>
      <w:tr>
        <w:trPr>
          <w:trHeight w:val="268" w:hRule="atLeast"/>
        </w:trPr>
        <w:tc>
          <w:tcPr>
            <w:tcW w:w="103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2018</w:t>
            </w:r>
          </w:p>
        </w:tc>
      </w:tr>
      <w:tr>
        <w:trPr>
          <w:trHeight w:val="599"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0,125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741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56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11856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0,33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1956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Style32"/>
              <w:rPr>
                <w:b/>
                <w:b/>
              </w:rPr>
            </w:pPr>
            <w:r>
              <w:rPr>
                <w:b/>
              </w:rPr>
              <w:t>2025</w:t>
            </w:r>
          </w:p>
        </w:tc>
      </w:tr>
      <w:tr>
        <w:trPr>
          <w:trHeight w:val="67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1,51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8951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0,27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1601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701"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14820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2448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Style32"/>
              <w:rPr>
                <w:b/>
                <w:b/>
              </w:rPr>
            </w:pPr>
            <w:r>
              <w:rPr>
                <w:b/>
              </w:rPr>
              <w:t>2032</w:t>
            </w:r>
          </w:p>
        </w:tc>
      </w:tr>
      <w:tr>
        <w:trPr>
          <w:trHeight w:val="714"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1,36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8062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0,243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55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23712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0,66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3912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bl>
    <w:p>
      <w:pPr>
        <w:pStyle w:val="Style29"/>
        <w:spacing w:before="0" w:after="0"/>
        <w:rPr>
          <w:sz w:val="24"/>
        </w:rPr>
      </w:pPr>
      <w:r>
        <w:rPr>
          <w:sz w:val="24"/>
        </w:rPr>
        <w:t>* - индивидуальные теплогенераторы</w:t>
      </w:r>
    </w:p>
    <w:p>
      <w:pPr>
        <w:pStyle w:val="Style29"/>
        <w:spacing w:before="0" w:after="0"/>
        <w:rPr>
          <w:sz w:val="24"/>
        </w:rPr>
      </w:pPr>
      <w:r>
        <w:rPr>
          <w:sz w:val="24"/>
        </w:rPr>
        <w:t>При расчете годового и максимально–часового расхода условного топлива, были приняты следующие показатели:</w:t>
      </w:r>
    </w:p>
    <w:p>
      <w:pPr>
        <w:pStyle w:val="Style29"/>
        <w:spacing w:before="0" w:after="0"/>
        <w:rPr>
          <w:sz w:val="24"/>
        </w:rPr>
      </w:pPr>
      <w:r>
        <w:rPr>
          <w:sz w:val="24"/>
        </w:rPr>
        <w:t>-</w:t>
        <w:tab/>
        <w:t xml:space="preserve">низшая теплота сгорания 1 кг условного топлива 6729 ккал/час; </w:t>
      </w:r>
    </w:p>
    <w:p>
      <w:pPr>
        <w:pStyle w:val="Style29"/>
        <w:spacing w:before="0" w:after="0"/>
        <w:rPr>
          <w:sz w:val="24"/>
        </w:rPr>
      </w:pPr>
      <w:r>
        <w:rPr>
          <w:sz w:val="24"/>
        </w:rPr>
        <w:t>- КПД котлов котельной (КВм-1.25-115) – 83%;</w:t>
      </w:r>
    </w:p>
    <w:p>
      <w:pPr>
        <w:pStyle w:val="Style29"/>
        <w:spacing w:before="0" w:after="0"/>
        <w:rPr>
          <w:sz w:val="24"/>
        </w:rPr>
      </w:pPr>
      <w:r>
        <w:rPr>
          <w:sz w:val="24"/>
        </w:rPr>
        <w:t xml:space="preserve">- КПД индивидуальных теплогенераторов – 90%. </w:t>
      </w:r>
    </w:p>
    <w:p>
      <w:pPr>
        <w:pStyle w:val="Normal"/>
        <w:widowControl w:val="false"/>
        <w:spacing w:lineRule="auto" w:line="240" w:before="0" w:after="0"/>
        <w:ind w:firstLine="567"/>
        <w:rPr>
          <w:rFonts w:ascii="Times New Roman" w:hAnsi="Times New Roman"/>
          <w:sz w:val="24"/>
          <w:szCs w:val="24"/>
        </w:rPr>
      </w:pPr>
      <w:bookmarkStart w:id="64" w:name="page57"/>
      <w:bookmarkStart w:id="65" w:name="page57"/>
      <w:bookmarkEnd w:id="65"/>
      <w:r>
        <w:rPr>
          <w:rFonts w:ascii="Times New Roman" w:hAnsi="Times New Roman"/>
          <w:sz w:val="24"/>
          <w:szCs w:val="24"/>
        </w:rPr>
      </w:r>
    </w:p>
    <w:p>
      <w:pPr>
        <w:pStyle w:val="Style29"/>
        <w:spacing w:before="0" w:after="0"/>
        <w:rPr>
          <w:b/>
          <w:b/>
          <w:sz w:val="24"/>
        </w:rPr>
      </w:pPr>
      <w:r>
        <w:rPr>
          <w:b/>
          <w:sz w:val="24"/>
        </w:rPr>
        <w:t>2.8. Обоснование инвестиций в новое строительство, реконструкцию и техническое перевооружение</w:t>
      </w:r>
    </w:p>
    <w:p>
      <w:pPr>
        <w:pStyle w:val="Style29"/>
        <w:spacing w:before="0" w:after="0"/>
        <w:rPr>
          <w:sz w:val="24"/>
        </w:rPr>
      </w:pPr>
      <w:r>
        <w:rPr>
          <w:sz w:val="24"/>
        </w:rPr>
      </w:r>
    </w:p>
    <w:p>
      <w:pPr>
        <w:pStyle w:val="Style31"/>
        <w:spacing w:before="0" w:after="0"/>
        <w:rPr/>
      </w:pPr>
      <w:r>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pPr>
        <w:pStyle w:val="Style31"/>
        <w:spacing w:before="0" w:after="0"/>
        <w:rPr/>
      </w:pPr>
      <w:r>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pPr>
        <w:pStyle w:val="Style31"/>
        <w:spacing w:before="0" w:after="0"/>
        <w:rPr/>
      </w:pPr>
      <w:r>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pPr>
        <w:pStyle w:val="Style31"/>
        <w:spacing w:before="0" w:after="0"/>
        <w:rPr/>
      </w:pPr>
      <w:r>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pPr>
        <w:pStyle w:val="Style31"/>
        <w:spacing w:before="0" w:after="0"/>
        <w:rPr/>
      </w:pPr>
      <w:r>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pPr>
        <w:pStyle w:val="Style31"/>
        <w:spacing w:before="0" w:after="0"/>
        <w:rPr/>
      </w:pPr>
      <w:r>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pPr>
        <w:pStyle w:val="Style31"/>
        <w:spacing w:before="0" w:after="0"/>
        <w:rPr/>
      </w:pPr>
      <w:r>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pPr>
        <w:pStyle w:val="Style31"/>
        <w:spacing w:before="0" w:after="0"/>
        <w:rPr/>
      </w:pPr>
      <w:r>
        <w:rPr/>
        <w:t>В расчетах не учитывались:</w:t>
      </w:r>
    </w:p>
    <w:p>
      <w:pPr>
        <w:pStyle w:val="Style31"/>
        <w:spacing w:before="0" w:after="0"/>
        <w:rPr/>
      </w:pPr>
      <w:r>
        <w:rPr/>
        <w:t>- стоимость резервирования и выкупа земельных участков и недвижимости для государственных и муниципальных нужд;</w:t>
      </w:r>
    </w:p>
    <w:p>
      <w:pPr>
        <w:pStyle w:val="Style31"/>
        <w:spacing w:before="0" w:after="0"/>
        <w:rPr/>
      </w:pPr>
      <w:r>
        <w:rPr/>
        <w:t>- стоимость проведения топографо-геодезических и геологических изысканий на территориях строительства;</w:t>
      </w:r>
    </w:p>
    <w:p>
      <w:pPr>
        <w:pStyle w:val="Style31"/>
        <w:spacing w:before="0" w:after="0"/>
        <w:rPr/>
      </w:pPr>
      <w:r>
        <w:rPr/>
        <w:t>- стоимость мероприятий по сносу и демонтажу зданий и сооружений на территориях строительства;</w:t>
      </w:r>
    </w:p>
    <w:p>
      <w:pPr>
        <w:pStyle w:val="Style31"/>
        <w:spacing w:before="0" w:after="0"/>
        <w:rPr/>
      </w:pPr>
      <w:r>
        <w:rPr/>
        <w:t>- стоимость мероприятий по реконструкции существующих объектов;</w:t>
      </w:r>
    </w:p>
    <w:p>
      <w:pPr>
        <w:pStyle w:val="Style31"/>
        <w:spacing w:before="0" w:after="0"/>
        <w:rPr/>
      </w:pPr>
      <w:r>
        <w:rPr/>
        <w:t xml:space="preserve">- оснащение необходимым оборудованием и благоустройство прилегающей территории; </w:t>
      </w:r>
    </w:p>
    <w:p>
      <w:pPr>
        <w:pStyle w:val="Style29"/>
        <w:spacing w:before="0" w:after="0"/>
        <w:rPr>
          <w:b/>
          <w:b/>
          <w:sz w:val="24"/>
        </w:rPr>
      </w:pPr>
      <w:r>
        <w:rPr>
          <w:sz w:val="24"/>
        </w:rPr>
        <w:t>- особенности территории строительства.</w:t>
      </w:r>
    </w:p>
    <w:p>
      <w:pPr>
        <w:pStyle w:val="Style29"/>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2.19. и 2.20.</w:t>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t>Таблица 2.19. Объем инвестиций в строительство, реконструкцию и техническое перевооружение источников тепла*</w:t>
      </w:r>
    </w:p>
    <w:p>
      <w:pPr>
        <w:pStyle w:val="Style29"/>
        <w:spacing w:before="0" w:after="0"/>
        <w:rPr>
          <w:sz w:val="24"/>
        </w:rPr>
      </w:pPr>
      <w:r>
        <w:rPr>
          <w:sz w:val="24"/>
        </w:rPr>
      </w:r>
    </w:p>
    <w:tbl>
      <w:tblPr>
        <w:tblW w:w="9923"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275"/>
        <w:gridCol w:w="2409"/>
        <w:gridCol w:w="1"/>
        <w:gridCol w:w="2126"/>
        <w:gridCol w:w="1"/>
        <w:gridCol w:w="851"/>
        <w:gridCol w:w="1"/>
        <w:gridCol w:w="1133"/>
        <w:gridCol w:w="425"/>
        <w:gridCol w:w="142"/>
        <w:gridCol w:w="1"/>
        <w:gridCol w:w="886"/>
        <w:gridCol w:w="40"/>
        <w:gridCol w:w="630"/>
      </w:tblGrid>
      <w:tr>
        <w:trPr>
          <w:trHeight w:val="240" w:hRule="atLeast"/>
        </w:trPr>
        <w:tc>
          <w:tcPr>
            <w:tcW w:w="1275"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b/>
                <w:b/>
              </w:rPr>
            </w:pPr>
            <w:r>
              <w:rPr>
                <w:b/>
              </w:rPr>
              <w:t>Источник</w:t>
            </w:r>
          </w:p>
          <w:p>
            <w:pPr>
              <w:pStyle w:val="Style32"/>
              <w:rPr>
                <w:b/>
                <w:b/>
              </w:rPr>
            </w:pPr>
            <w:r>
              <w:rPr>
                <w:b/>
              </w:rPr>
              <w:t>тепловой энергии</w:t>
            </w:r>
          </w:p>
        </w:tc>
        <w:tc>
          <w:tcPr>
            <w:tcW w:w="2410" w:type="dxa"/>
            <w:gridSpan w:val="2"/>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Планируемые</w:t>
            </w:r>
          </w:p>
          <w:p>
            <w:pPr>
              <w:pStyle w:val="Style32"/>
              <w:rPr>
                <w:b/>
                <w:b/>
              </w:rPr>
            </w:pPr>
            <w:r>
              <w:rPr>
                <w:b/>
              </w:rPr>
              <w:t>мероприятия</w:t>
            </w:r>
          </w:p>
        </w:tc>
        <w:tc>
          <w:tcPr>
            <w:tcW w:w="2127" w:type="dxa"/>
            <w:gridSpan w:val="2"/>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Цели реализации</w:t>
            </w:r>
          </w:p>
          <w:p>
            <w:pPr>
              <w:pStyle w:val="Style32"/>
              <w:rPr>
                <w:b/>
                <w:b/>
              </w:rPr>
            </w:pPr>
            <w:r>
              <w:rPr>
                <w:b/>
              </w:rPr>
              <w:t>мероприятия</w:t>
            </w:r>
          </w:p>
        </w:tc>
        <w:tc>
          <w:tcPr>
            <w:tcW w:w="4109" w:type="dxa"/>
            <w:gridSpan w:val="9"/>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32"/>
              <w:rPr>
                <w:b/>
                <w:b/>
              </w:rPr>
            </w:pPr>
            <w:r>
              <w:rPr>
                <w:b/>
              </w:rPr>
              <w:t>Ориентировочный объем инвестиций*, тыс. руб</w:t>
            </w:r>
          </w:p>
        </w:tc>
      </w:tr>
      <w:tr>
        <w:trPr>
          <w:trHeight w:val="220" w:hRule="atLeast"/>
        </w:trPr>
        <w:tc>
          <w:tcPr>
            <w:tcW w:w="1275"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2410" w:type="dxa"/>
            <w:gridSpan w:val="2"/>
            <w:vMerge w:val="continue"/>
            <w:tcBorders>
              <w:right w:val="single" w:sz="8" w:space="0" w:color="00000A"/>
              <w:insideV w:val="single" w:sz="8" w:space="0" w:color="00000A"/>
            </w:tcBorders>
            <w:shd w:fill="auto" w:val="clear"/>
            <w:vAlign w:val="center"/>
          </w:tcPr>
          <w:p>
            <w:pPr>
              <w:pStyle w:val="Style32"/>
              <w:rPr/>
            </w:pPr>
            <w:r>
              <w:rPr/>
            </w:r>
          </w:p>
        </w:tc>
        <w:tc>
          <w:tcPr>
            <w:tcW w:w="2127" w:type="dxa"/>
            <w:gridSpan w:val="2"/>
            <w:vMerge w:val="continue"/>
            <w:tcBorders>
              <w:right w:val="single" w:sz="8" w:space="0" w:color="00000A"/>
              <w:insideV w:val="single" w:sz="8" w:space="0" w:color="00000A"/>
            </w:tcBorders>
            <w:shd w:fill="auto" w:val="clear"/>
            <w:vAlign w:val="center"/>
          </w:tcPr>
          <w:p>
            <w:pPr>
              <w:pStyle w:val="Style32"/>
              <w:rPr/>
            </w:pPr>
            <w:r>
              <w:rPr/>
            </w:r>
          </w:p>
        </w:tc>
        <w:tc>
          <w:tcPr>
            <w:tcW w:w="852" w:type="dxa"/>
            <w:gridSpan w:val="2"/>
            <w:vMerge w:val="restart"/>
            <w:tcBorders>
              <w:right w:val="single" w:sz="8" w:space="0" w:color="00000A"/>
              <w:insideV w:val="single" w:sz="8" w:space="0" w:color="00000A"/>
            </w:tcBorders>
            <w:shd w:fill="auto" w:val="clear"/>
            <w:vAlign w:val="center"/>
          </w:tcPr>
          <w:p>
            <w:pPr>
              <w:pStyle w:val="Style32"/>
              <w:rPr/>
            </w:pPr>
            <w:r>
              <w:rPr/>
              <w:t>всего</w:t>
            </w:r>
          </w:p>
        </w:tc>
        <w:tc>
          <w:tcPr>
            <w:tcW w:w="3257" w:type="dxa"/>
            <w:gridSpan w:val="7"/>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в том числе по годам</w:t>
            </w:r>
          </w:p>
        </w:tc>
      </w:tr>
      <w:tr>
        <w:trPr>
          <w:trHeight w:val="220" w:hRule="atLeast"/>
        </w:trPr>
        <w:tc>
          <w:tcPr>
            <w:tcW w:w="1275"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241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2127"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852"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701" w:type="dxa"/>
            <w:gridSpan w:val="4"/>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2020</w:t>
            </w:r>
          </w:p>
        </w:tc>
        <w:tc>
          <w:tcPr>
            <w:tcW w:w="1556"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2032</w:t>
            </w:r>
          </w:p>
        </w:tc>
      </w:tr>
      <w:tr>
        <w:trPr>
          <w:trHeight w:val="220" w:hRule="atLeast"/>
        </w:trPr>
        <w:tc>
          <w:tcPr>
            <w:tcW w:w="3684" w:type="dxa"/>
            <w:gridSpan w:val="2"/>
            <w:tcBorders>
              <w:left w:val="single" w:sz="8" w:space="0" w:color="00000A"/>
              <w:bottom w:val="single" w:sz="4" w:space="0" w:color="00000A"/>
              <w:insideH w:val="single" w:sz="4" w:space="0" w:color="00000A"/>
            </w:tcBorders>
            <w:shd w:fill="auto" w:val="clear"/>
            <w:tcMar>
              <w:left w:w="-10" w:type="dxa"/>
            </w:tcMar>
            <w:vAlign w:val="center"/>
          </w:tcPr>
          <w:p>
            <w:pPr>
              <w:pStyle w:val="Style32"/>
              <w:rPr/>
            </w:pPr>
            <w:r>
              <w:rPr/>
              <w:t>Источники тепловой энергии</w:t>
            </w:r>
          </w:p>
        </w:tc>
        <w:tc>
          <w:tcPr>
            <w:tcW w:w="2127" w:type="dxa"/>
            <w:gridSpan w:val="2"/>
            <w:tcBorders>
              <w:bottom w:val="single" w:sz="4" w:space="0" w:color="00000A"/>
              <w:insideH w:val="single" w:sz="4" w:space="0" w:color="00000A"/>
            </w:tcBorders>
            <w:shd w:fill="auto" w:val="clear"/>
            <w:vAlign w:val="center"/>
          </w:tcPr>
          <w:p>
            <w:pPr>
              <w:pStyle w:val="Style32"/>
              <w:rPr/>
            </w:pPr>
            <w:r>
              <w:rPr/>
            </w:r>
          </w:p>
        </w:tc>
        <w:tc>
          <w:tcPr>
            <w:tcW w:w="852" w:type="dxa"/>
            <w:gridSpan w:val="2"/>
            <w:tcBorders>
              <w:bottom w:val="single" w:sz="4" w:space="0" w:color="00000A"/>
              <w:insideH w:val="single" w:sz="4" w:space="0" w:color="00000A"/>
            </w:tcBorders>
            <w:shd w:fill="auto" w:val="clear"/>
            <w:vAlign w:val="center"/>
          </w:tcPr>
          <w:p>
            <w:pPr>
              <w:pStyle w:val="Style32"/>
              <w:rPr/>
            </w:pPr>
            <w:r>
              <w:rPr/>
            </w:r>
          </w:p>
        </w:tc>
        <w:tc>
          <w:tcPr>
            <w:tcW w:w="1134" w:type="dxa"/>
            <w:gridSpan w:val="2"/>
            <w:tcBorders>
              <w:bottom w:val="single" w:sz="4" w:space="0" w:color="00000A"/>
              <w:insideH w:val="single" w:sz="4" w:space="0" w:color="00000A"/>
            </w:tcBorders>
            <w:shd w:fill="auto" w:val="clear"/>
            <w:vAlign w:val="center"/>
          </w:tcPr>
          <w:p>
            <w:pPr>
              <w:pStyle w:val="Style32"/>
              <w:rPr/>
            </w:pPr>
            <w:r>
              <w:rPr/>
            </w:r>
          </w:p>
        </w:tc>
        <w:tc>
          <w:tcPr>
            <w:tcW w:w="425" w:type="dxa"/>
            <w:tcBorders>
              <w:bottom w:val="single" w:sz="4" w:space="0" w:color="00000A"/>
              <w:insideH w:val="single" w:sz="4" w:space="0" w:color="00000A"/>
            </w:tcBorders>
            <w:shd w:fill="auto" w:val="clear"/>
            <w:vAlign w:val="center"/>
          </w:tcPr>
          <w:p>
            <w:pPr>
              <w:pStyle w:val="Style32"/>
              <w:rPr/>
            </w:pPr>
            <w:r>
              <w:rPr/>
            </w:r>
          </w:p>
        </w:tc>
        <w:tc>
          <w:tcPr>
            <w:tcW w:w="1029" w:type="dxa"/>
            <w:gridSpan w:val="3"/>
            <w:tcBorders>
              <w:bottom w:val="single" w:sz="4" w:space="0" w:color="00000A"/>
              <w:insideH w:val="single" w:sz="4" w:space="0" w:color="00000A"/>
            </w:tcBorders>
            <w:shd w:fill="auto" w:val="clear"/>
            <w:vAlign w:val="center"/>
          </w:tcPr>
          <w:p>
            <w:pPr>
              <w:pStyle w:val="Style32"/>
              <w:rPr/>
            </w:pPr>
            <w:r>
              <w:rPr/>
            </w:r>
          </w:p>
        </w:tc>
        <w:tc>
          <w:tcPr>
            <w:tcW w:w="40" w:type="dxa"/>
            <w:tcBorders>
              <w:bottom w:val="single" w:sz="4" w:space="0" w:color="00000A"/>
              <w:insideH w:val="single" w:sz="4" w:space="0" w:color="00000A"/>
            </w:tcBorders>
            <w:shd w:fill="auto" w:val="clear"/>
            <w:vAlign w:val="center"/>
          </w:tcPr>
          <w:p>
            <w:pPr>
              <w:pStyle w:val="Style32"/>
              <w:rPr/>
            </w:pPr>
            <w:r>
              <w:rPr/>
            </w:r>
          </w:p>
        </w:tc>
        <w:tc>
          <w:tcPr>
            <w:tcW w:w="63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r>
          </w:p>
        </w:tc>
      </w:tr>
      <w:tr>
        <w:trPr>
          <w:trHeight w:val="1866" w:hRule="atLeast"/>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w:t>
            </w:r>
          </w:p>
        </w:tc>
        <w:tc>
          <w:tcPr>
            <w:tcW w:w="24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Замена котлов</w:t>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Повышение</w:t>
            </w:r>
          </w:p>
          <w:p>
            <w:pPr>
              <w:pStyle w:val="Style32"/>
              <w:rPr/>
            </w:pPr>
            <w:r>
              <w:rPr/>
              <w:t>эффективности</w:t>
            </w:r>
          </w:p>
          <w:p>
            <w:pPr>
              <w:pStyle w:val="Style32"/>
              <w:rPr/>
            </w:pPr>
            <w:r>
              <w:rPr/>
              <w:t>работы котельной,</w:t>
            </w:r>
          </w:p>
          <w:p>
            <w:pPr>
              <w:pStyle w:val="Style32"/>
              <w:rPr/>
            </w:pPr>
            <w:r>
              <w:rPr/>
              <w:t>снижение</w:t>
            </w:r>
          </w:p>
          <w:p>
            <w:pPr>
              <w:pStyle w:val="Style32"/>
              <w:rPr/>
            </w:pPr>
            <w:r>
              <w:rPr/>
              <w:t>себестоимости</w:t>
            </w:r>
          </w:p>
          <w:p>
            <w:pPr>
              <w:pStyle w:val="Style32"/>
              <w:rPr/>
            </w:pPr>
            <w:r>
              <w:rPr/>
              <w:t>вырабатываемой</w:t>
            </w:r>
          </w:p>
          <w:p>
            <w:pPr>
              <w:pStyle w:val="Style32"/>
              <w:rPr/>
            </w:pPr>
            <w:r>
              <w:rPr/>
              <w:t>тепловой энергии</w:t>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7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5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439" w:hRule="atLeast"/>
        </w:trPr>
        <w:tc>
          <w:tcPr>
            <w:tcW w:w="3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Всего по источникам тепловой энергии</w:t>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7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5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bl>
    <w:p>
      <w:pPr>
        <w:pStyle w:val="Style29"/>
        <w:spacing w:before="0" w:after="0"/>
        <w:rPr>
          <w:sz w:val="24"/>
        </w:rPr>
      </w:pPr>
      <w:r>
        <w:rPr>
          <w:sz w:val="24"/>
        </w:rPr>
      </w:r>
    </w:p>
    <w:p>
      <w:pPr>
        <w:pStyle w:val="Style29"/>
        <w:spacing w:before="0" w:after="0"/>
        <w:rPr>
          <w:sz w:val="24"/>
        </w:rPr>
      </w:pPr>
      <w:r>
        <w:rPr>
          <w:sz w:val="24"/>
        </w:rPr>
        <w:t>Таблица 2.20. Объем инвестиций в строительство, реконструкцию и техническое перевооружение тепловых сетей*</w:t>
      </w:r>
    </w:p>
    <w:p>
      <w:pPr>
        <w:pStyle w:val="Style29"/>
        <w:spacing w:before="0" w:after="0"/>
        <w:rPr>
          <w:sz w:val="24"/>
        </w:rPr>
      </w:pPr>
      <w:r>
        <w:rPr>
          <w:sz w:val="24"/>
        </w:rPr>
      </w:r>
    </w:p>
    <w:tbl>
      <w:tblPr>
        <w:tblpPr w:bottomFromText="0" w:horzAnchor="margin" w:leftFromText="180" w:rightFromText="180" w:tblpX="0" w:tblpY="121" w:topFromText="0" w:vertAnchor="text"/>
        <w:tblW w:w="10207" w:type="dxa"/>
        <w:jc w:val="left"/>
        <w:tblInd w:w="0" w:type="dxa"/>
        <w:tblBorders>
          <w:top w:val="single" w:sz="8" w:space="0" w:color="00000A"/>
          <w:left w:val="single" w:sz="4" w:space="0" w:color="00000A"/>
          <w:right w:val="single" w:sz="8" w:space="0" w:color="00000A"/>
          <w:insideV w:val="single" w:sz="8" w:space="0" w:color="00000A"/>
        </w:tblBorders>
        <w:tblCellMar>
          <w:top w:w="0" w:type="dxa"/>
          <w:left w:w="-5" w:type="dxa"/>
          <w:bottom w:w="0" w:type="dxa"/>
          <w:right w:w="0" w:type="dxa"/>
        </w:tblCellMar>
        <w:tblLook w:firstRow="0" w:noVBand="0" w:lastRow="0" w:firstColumn="0" w:lastColumn="0" w:noHBand="0" w:val="0000"/>
      </w:tblPr>
      <w:tblGrid>
        <w:gridCol w:w="1555"/>
        <w:gridCol w:w="1990"/>
        <w:gridCol w:w="2528"/>
        <w:gridCol w:w="1"/>
        <w:gridCol w:w="846"/>
        <w:gridCol w:w="1"/>
        <w:gridCol w:w="1727"/>
        <w:gridCol w:w="1"/>
        <w:gridCol w:w="1557"/>
      </w:tblGrid>
      <w:tr>
        <w:trPr>
          <w:trHeight w:val="404" w:hRule="atLeast"/>
        </w:trPr>
        <w:tc>
          <w:tcPr>
            <w:tcW w:w="1555"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Style32"/>
              <w:rPr>
                <w:b/>
                <w:b/>
              </w:rPr>
            </w:pPr>
            <w:r>
              <w:rPr>
                <w:b/>
              </w:rPr>
              <w:t>Объект</w:t>
            </w:r>
          </w:p>
        </w:tc>
        <w:tc>
          <w:tcPr>
            <w:tcW w:w="1990" w:type="dxa"/>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Планируемые</w:t>
            </w:r>
          </w:p>
          <w:p>
            <w:pPr>
              <w:pStyle w:val="Style32"/>
              <w:rPr>
                <w:b/>
                <w:b/>
              </w:rPr>
            </w:pPr>
            <w:r>
              <w:rPr>
                <w:b/>
              </w:rPr>
              <w:t>мероприятия</w:t>
            </w:r>
          </w:p>
        </w:tc>
        <w:tc>
          <w:tcPr>
            <w:tcW w:w="2529" w:type="dxa"/>
            <w:gridSpan w:val="2"/>
            <w:vMerge w:val="restart"/>
            <w:tcBorders>
              <w:top w:val="single" w:sz="8" w:space="0" w:color="00000A"/>
              <w:right w:val="single" w:sz="4" w:space="0" w:color="00000A"/>
              <w:insideV w:val="single" w:sz="4" w:space="0" w:color="00000A"/>
            </w:tcBorders>
            <w:shd w:fill="auto" w:val="clear"/>
            <w:vAlign w:val="center"/>
          </w:tcPr>
          <w:p>
            <w:pPr>
              <w:pStyle w:val="Style32"/>
              <w:rPr>
                <w:b/>
                <w:b/>
              </w:rPr>
            </w:pPr>
            <w:r>
              <w:rPr>
                <w:b/>
              </w:rPr>
              <w:t>Цели реализации</w:t>
            </w:r>
          </w:p>
          <w:p>
            <w:pPr>
              <w:pStyle w:val="Style32"/>
              <w:rPr>
                <w:b/>
                <w:b/>
              </w:rPr>
            </w:pPr>
            <w:r>
              <w:rPr>
                <w:b/>
              </w:rPr>
              <w:t>мероприятия</w:t>
            </w:r>
          </w:p>
        </w:tc>
        <w:tc>
          <w:tcPr>
            <w:tcW w:w="413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Ориентировочный объём инвестиций*, тыс. руб</w:t>
            </w:r>
          </w:p>
        </w:tc>
      </w:tr>
      <w:tr>
        <w:trPr>
          <w:trHeight w:val="310" w:hRule="atLeast"/>
        </w:trPr>
        <w:tc>
          <w:tcPr>
            <w:tcW w:w="1555"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Style32"/>
              <w:rPr/>
            </w:pPr>
            <w:r>
              <w:rPr/>
            </w:r>
          </w:p>
        </w:tc>
        <w:tc>
          <w:tcPr>
            <w:tcW w:w="1990" w:type="dxa"/>
            <w:vMerge w:val="continue"/>
            <w:tcBorders>
              <w:right w:val="single" w:sz="8" w:space="0" w:color="00000A"/>
              <w:insideV w:val="single" w:sz="8" w:space="0" w:color="00000A"/>
            </w:tcBorders>
            <w:shd w:fill="auto" w:val="clear"/>
            <w:vAlign w:val="center"/>
          </w:tcPr>
          <w:p>
            <w:pPr>
              <w:pStyle w:val="Style32"/>
              <w:rPr/>
            </w:pPr>
            <w:r>
              <w:rPr/>
            </w:r>
          </w:p>
        </w:tc>
        <w:tc>
          <w:tcPr>
            <w:tcW w:w="2529" w:type="dxa"/>
            <w:gridSpan w:val="2"/>
            <w:vMerge w:val="continue"/>
            <w:tcBorders>
              <w:right w:val="single" w:sz="4" w:space="0" w:color="00000A"/>
              <w:insideV w:val="single" w:sz="4" w:space="0" w:color="00000A"/>
            </w:tcBorders>
            <w:shd w:fill="auto" w:val="clear"/>
            <w:vAlign w:val="center"/>
          </w:tcPr>
          <w:p>
            <w:pPr>
              <w:pStyle w:val="Style32"/>
              <w:rPr/>
            </w:pPr>
            <w:r>
              <w:rPr/>
            </w:r>
          </w:p>
        </w:tc>
        <w:tc>
          <w:tcPr>
            <w:tcW w:w="847" w:type="dxa"/>
            <w:gridSpan w:val="2"/>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Style32"/>
              <w:rPr/>
            </w:pPr>
            <w:r>
              <w:rPr/>
              <w:t>всего</w:t>
            </w:r>
          </w:p>
        </w:tc>
        <w:tc>
          <w:tcPr>
            <w:tcW w:w="32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В том числе по срокам</w:t>
            </w:r>
          </w:p>
        </w:tc>
      </w:tr>
      <w:tr>
        <w:trPr>
          <w:trHeight w:val="215" w:hRule="atLeast"/>
        </w:trPr>
        <w:tc>
          <w:tcPr>
            <w:tcW w:w="1555"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32"/>
              <w:rPr/>
            </w:pPr>
            <w:r>
              <w:rPr/>
            </w:r>
          </w:p>
        </w:tc>
        <w:tc>
          <w:tcPr>
            <w:tcW w:w="1990" w:type="dxa"/>
            <w:vMerge w:val="continue"/>
            <w:tcBorders>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r>
          </w:p>
        </w:tc>
        <w:tc>
          <w:tcPr>
            <w:tcW w:w="2529"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Style32"/>
              <w:rPr/>
            </w:pPr>
            <w:r>
              <w:rPr/>
            </w:r>
          </w:p>
        </w:tc>
        <w:tc>
          <w:tcPr>
            <w:tcW w:w="847"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2020</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2032</w:t>
            </w:r>
          </w:p>
        </w:tc>
      </w:tr>
      <w:tr>
        <w:trPr>
          <w:trHeight w:val="1056"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ТК-ДС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теплом</w:t>
            </w:r>
          </w:p>
          <w:p>
            <w:pPr>
              <w:pStyle w:val="Style32"/>
              <w:rPr/>
            </w:pPr>
            <w:r>
              <w:rPr/>
              <w:t>детского сада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45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27</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27</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1143"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 - спортзал</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спортивного зала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280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168</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168</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92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 - ПП</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перспективных потребителей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500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300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300</w:t>
            </w:r>
          </w:p>
        </w:tc>
      </w:tr>
      <w:tr>
        <w:trPr>
          <w:trHeight w:val="961"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Реконструкция тепловых сетей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1250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750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750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Style32"/>
              <w:rPr/>
            </w:pPr>
            <w:r>
              <w:rPr/>
              <w:t>Всего по тепловым сетям:</w:t>
            </w:r>
          </w:p>
        </w:tc>
        <w:tc>
          <w:tcPr>
            <w:tcW w:w="847"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1245</w:t>
            </w:r>
          </w:p>
        </w:tc>
        <w:tc>
          <w:tcPr>
            <w:tcW w:w="1728" w:type="dxa"/>
            <w:gridSpan w:val="2"/>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32"/>
              <w:rPr/>
            </w:pPr>
            <w:r>
              <w:rPr/>
              <w:t>195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1050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Style32"/>
              <w:rPr/>
            </w:pPr>
            <w:r>
              <w:rPr>
                <w:b/>
                <w:bCs/>
              </w:rPr>
              <w:t>Всего по мероприятиям:</w:t>
            </w:r>
          </w:p>
        </w:tc>
        <w:tc>
          <w:tcPr>
            <w:tcW w:w="84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b/>
                <w:bCs/>
              </w:rPr>
              <w:t>7115</w:t>
            </w:r>
          </w:p>
        </w:tc>
        <w:tc>
          <w:tcPr>
            <w:tcW w:w="172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b/>
                <w:b/>
              </w:rPr>
            </w:pPr>
            <w:r>
              <w:rPr>
                <w:b/>
              </w:rPr>
              <w:t>6065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b/>
                <w:bCs/>
              </w:rPr>
              <w:t>1050</w:t>
            </w:r>
          </w:p>
        </w:tc>
      </w:tr>
    </w:tbl>
    <w:p>
      <w:pPr>
        <w:pStyle w:val="Style29"/>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pPr>
        <w:pStyle w:val="Style29"/>
        <w:spacing w:before="0" w:after="0"/>
        <w:rPr>
          <w:sz w:val="24"/>
        </w:rPr>
      </w:pPr>
      <w:r>
        <w:rPr>
          <w:sz w:val="24"/>
        </w:rPr>
      </w:r>
    </w:p>
    <w:p>
      <w:pPr>
        <w:pStyle w:val="Style29"/>
        <w:spacing w:before="0" w:after="0"/>
        <w:rPr>
          <w:b/>
          <w:b/>
          <w:sz w:val="24"/>
        </w:rPr>
      </w:pPr>
      <w:r>
        <w:rPr>
          <w:b/>
          <w:sz w:val="24"/>
        </w:rPr>
        <w:t>2.9 Обоснование предложения по определению единой снабжающей организации</w:t>
      </w:r>
    </w:p>
    <w:p>
      <w:pPr>
        <w:pStyle w:val="Style29"/>
        <w:spacing w:before="0" w:after="0"/>
        <w:rPr>
          <w:b/>
          <w:b/>
          <w:sz w:val="24"/>
        </w:rPr>
      </w:pPr>
      <w:r>
        <w:rPr>
          <w:b/>
          <w:sz w:val="24"/>
        </w:rPr>
      </w:r>
    </w:p>
    <w:p>
      <w:pPr>
        <w:pStyle w:val="Style29"/>
        <w:spacing w:before="0" w:after="0"/>
        <w:rPr>
          <w:sz w:val="24"/>
        </w:rPr>
      </w:pPr>
      <w:r>
        <w:rPr>
          <w:sz w:val="24"/>
        </w:rPr>
        <w:t xml:space="preserve"> </w:t>
      </w:r>
      <w:r>
        <w:rPr>
          <w:sz w:val="24"/>
        </w:rPr>
        <w:t>В соответствии со статьей 2 п. 28 Федерального закона от 27 июля 2010 года №190 – ФЗ «О теплоснабжении»:</w:t>
      </w:r>
    </w:p>
    <w:p>
      <w:pPr>
        <w:pStyle w:val="Style29"/>
        <w:spacing w:before="0" w:after="0"/>
        <w:rPr>
          <w:sz w:val="24"/>
        </w:rPr>
      </w:pPr>
      <w:r>
        <w:rPr>
          <w:sz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pPr>
        <w:pStyle w:val="Style29"/>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pPr>
        <w:pStyle w:val="Style29"/>
        <w:spacing w:before="0" w:after="0"/>
        <w:rPr>
          <w:sz w:val="24"/>
        </w:rPr>
      </w:pPr>
      <w:r>
        <w:rPr>
          <w:sz w:val="24"/>
        </w:rPr>
        <w:t>Порядок определения единой теплоснабжающей организации:</w:t>
      </w:r>
    </w:p>
    <w:p>
      <w:pPr>
        <w:pStyle w:val="Style29"/>
        <w:spacing w:before="0" w:after="0"/>
        <w:rPr>
          <w:sz w:val="24"/>
        </w:rPr>
      </w:pPr>
      <w:r>
        <w:rPr>
          <w:sz w:val="24"/>
        </w:rPr>
        <w:t xml:space="preserve">– </w:t>
      </w:r>
      <w:r>
        <w:rPr>
          <w:sz w:val="24"/>
        </w:rPr>
        <w:t xml:space="preserve">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pPr>
        <w:pStyle w:val="Style29"/>
        <w:spacing w:before="0" w:after="0"/>
        <w:rPr>
          <w:sz w:val="24"/>
        </w:rPr>
      </w:pPr>
      <w:r>
        <w:rPr>
          <w:sz w:val="24"/>
        </w:rPr>
        <w:t xml:space="preserve">– </w:t>
      </w:r>
      <w:r>
        <w:rPr>
          <w:sz w:val="24"/>
        </w:rPr>
        <w:t xml:space="preserve">в проекте схемы теплоснабжения должны быть определены границы зон деятельности единой теплоснабжающей организации (организаций). </w:t>
      </w:r>
    </w:p>
    <w:p>
      <w:pPr>
        <w:pStyle w:val="Style29"/>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pPr>
        <w:pStyle w:val="Style29"/>
        <w:spacing w:before="0" w:after="0"/>
        <w:rPr>
          <w:sz w:val="24"/>
        </w:rPr>
      </w:pPr>
      <w:r>
        <w:rPr>
          <w:sz w:val="24"/>
        </w:rPr>
        <w:t>Критерии определения единой теплоснабжающей организации:</w:t>
      </w:r>
    </w:p>
    <w:p>
      <w:pPr>
        <w:pStyle w:val="Style29"/>
        <w:spacing w:before="0" w:after="0"/>
        <w:rPr>
          <w:sz w:val="24"/>
        </w:rPr>
      </w:pPr>
      <w:r>
        <w:rPr>
          <w:sz w:val="24"/>
        </w:rPr>
        <w:t xml:space="preserve">– </w:t>
      </w:r>
      <w:r>
        <w:rPr>
          <w:sz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pPr>
        <w:pStyle w:val="Style29"/>
        <w:spacing w:before="0" w:after="0"/>
        <w:rPr>
          <w:sz w:val="24"/>
        </w:rPr>
      </w:pPr>
      <w:r>
        <w:rPr>
          <w:sz w:val="24"/>
        </w:rPr>
        <w:t xml:space="preserve">– </w:t>
      </w:r>
      <w:r>
        <w:rPr>
          <w:sz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pPr>
        <w:pStyle w:val="Style29"/>
        <w:spacing w:before="0" w:after="0"/>
        <w:rPr>
          <w:sz w:val="24"/>
        </w:rPr>
      </w:pPr>
      <w:r>
        <w:rPr>
          <w:sz w:val="24"/>
        </w:rPr>
        <w:t xml:space="preserve">– </w:t>
      </w:r>
      <w:r>
        <w:rPr>
          <w:sz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pPr>
        <w:pStyle w:val="Style29"/>
        <w:spacing w:before="0" w:after="0"/>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pPr>
        <w:pStyle w:val="Style29"/>
        <w:spacing w:before="0" w:after="0"/>
        <w:rPr>
          <w:sz w:val="24"/>
        </w:rPr>
      </w:pPr>
      <w:r>
        <w:rPr>
          <w:sz w:val="24"/>
        </w:rPr>
        <w:t>Единая теплоснабжающая организация обязана:</w:t>
      </w:r>
    </w:p>
    <w:p>
      <w:pPr>
        <w:pStyle w:val="Style29"/>
        <w:spacing w:before="0" w:after="0"/>
        <w:rPr>
          <w:sz w:val="24"/>
        </w:rPr>
      </w:pPr>
      <w:r>
        <w:rPr>
          <w:sz w:val="24"/>
        </w:rPr>
        <w:t>–</w:t>
      </w:r>
      <w:r>
        <w:rPr>
          <w:sz w:val="24"/>
        </w:rPr>
        <w:tab/>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pPr>
        <w:pStyle w:val="Style29"/>
        <w:spacing w:before="0" w:after="0"/>
        <w:rPr>
          <w:sz w:val="24"/>
        </w:rPr>
      </w:pPr>
      <w:r>
        <w:rPr>
          <w:sz w:val="24"/>
        </w:rPr>
        <w:t xml:space="preserve">– </w:t>
      </w:r>
      <w:r>
        <w:rPr>
          <w:sz w:val="24"/>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pPr>
        <w:pStyle w:val="Style29"/>
        <w:spacing w:before="0" w:after="0"/>
        <w:rPr>
          <w:sz w:val="24"/>
        </w:rPr>
      </w:pPr>
      <w:r>
        <w:rPr>
          <w:sz w:val="24"/>
        </w:rPr>
        <w:t>–</w:t>
      </w:r>
      <w:r>
        <w:rPr>
          <w:sz w:val="24"/>
        </w:rPr>
        <w:tab/>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pPr>
        <w:pStyle w:val="Style29"/>
        <w:spacing w:before="0" w:after="0"/>
        <w:rPr>
          <w:sz w:val="24"/>
        </w:rPr>
      </w:pPr>
      <w:r>
        <w:rPr>
          <w:sz w:val="24"/>
        </w:rPr>
        <w:t xml:space="preserve">– </w:t>
      </w:r>
      <w:r>
        <w:rPr>
          <w:sz w:val="24"/>
        </w:rPr>
        <w:tab/>
        <w:t xml:space="preserve">осуществлять контроль режимов потребления тепловой энергии в зоне своей деятельности. </w:t>
      </w:r>
    </w:p>
    <w:p>
      <w:pPr>
        <w:pStyle w:val="Style29"/>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pPr>
        <w:pStyle w:val="Style29"/>
        <w:spacing w:before="0" w:after="0"/>
        <w:rPr>
          <w:sz w:val="24"/>
        </w:rPr>
      </w:pPr>
      <w:r>
        <w:rPr>
          <w:sz w:val="24"/>
        </w:rPr>
        <w:t>Имеется  необходимая  техника  для  проведения  земляных  работ, строительства и ремонта тепловых сетей.</w:t>
      </w:r>
    </w:p>
    <w:p>
      <w:pPr>
        <w:pStyle w:val="Style29"/>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pPr>
        <w:pStyle w:val="Style29"/>
        <w:spacing w:before="0" w:after="0"/>
        <w:rPr>
          <w:sz w:val="24"/>
        </w:rPr>
      </w:pPr>
      <w:r>
        <w:rPr>
          <w:sz w:val="24"/>
        </w:rPr>
      </w:r>
    </w:p>
    <w:p>
      <w:pPr>
        <w:pStyle w:val="Style29"/>
        <w:spacing w:before="0" w:after="0"/>
        <w:rPr/>
      </w:pPr>
      <w:r>
        <w:rPr/>
        <w:drawing>
          <wp:inline distT="0" distB="0" distL="19050" distR="1270">
            <wp:extent cx="6570980" cy="6974840"/>
            <wp:effectExtent l="0" t="0" r="0" b="0"/>
            <wp:docPr id="8" name="Рисунок 1" descr="C:\Documents and Settings\Admin\Мои документы\Документы в Иркутск\2014 год\НОЯБРЬ 2014 Г\ноябрь\Схема теплоснаб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Documents and Settings\Admin\Мои документы\Документы в Иркутск\2014 год\НОЯБРЬ 2014 Г\ноябрь\Схема теплоснабжения 2.jpg"/>
                    <pic:cNvPicPr>
                      <a:picLocks noChangeAspect="1" noChangeArrowheads="1"/>
                    </pic:cNvPicPr>
                  </pic:nvPicPr>
                  <pic:blipFill>
                    <a:blip r:embed="rId23"/>
                    <a:stretch>
                      <a:fillRect/>
                    </a:stretch>
                  </pic:blipFill>
                  <pic:spPr bwMode="auto">
                    <a:xfrm>
                      <a:off x="0" y="0"/>
                      <a:ext cx="6570980" cy="6974840"/>
                    </a:xfrm>
                    <a:prstGeom prst="rect">
                      <a:avLst/>
                    </a:prstGeom>
                  </pic:spPr>
                </pic:pic>
              </a:graphicData>
            </a:graphic>
          </wp:inline>
        </w:drawing>
      </w:r>
    </w:p>
    <w:sectPr>
      <w:footerReference w:type="default" r:id="rId24"/>
      <w:type w:val="nextPage"/>
      <w:pgSz w:w="11906" w:h="16838"/>
      <w:pgMar w:left="1134" w:right="418" w:header="0" w:top="567" w:footer="72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swiss"/>
    <w:pitch w:val="variable"/>
  </w:font>
  <w:font w:name="Century Schoolbook">
    <w:charset w:val="cc"/>
    <w:family w:val="roman"/>
    <w:pitch w:val="variable"/>
  </w:font>
  <w:font w:name="Courier New">
    <w:charset w:val="cc"/>
    <w:family w:val="roman"/>
    <w:pitch w:val="variable"/>
  </w:font>
  <w:font w:name="Arial">
    <w:charset w:val="cc"/>
    <w:family w:val="roman"/>
    <w:pitch w:val="variable"/>
  </w:font>
  <w:font w:name="OpenSymbol">
    <w:altName w:val="Arial Unicode MS"/>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06017768"/>
      </w:sdtPr>
      <w:sdtContent>
        <w:r>
          <w:rPr>
            <w:rFonts w:cs="Times New Roman" w:ascii="Times New Roman" w:hAnsi="Times New Roman"/>
            <w:sz w:val="24"/>
          </w:rPr>
          <w:fldChar w:fldCharType="begin"/>
        </w:r>
        <w:r>
          <w:instrText> PAGE </w:instrText>
        </w:r>
        <w:r>
          <w:fldChar w:fldCharType="separate"/>
        </w:r>
        <w:r>
          <w:t>3</w:t>
        </w:r>
        <w:r>
          <w:fldChar w:fldCharType="end"/>
        </w:r>
      </w:sdtContent>
    </w:sdt>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441032934"/>
      </w:sdtPr>
      <w:sdtContent>
        <w:r>
          <w:rPr>
            <w:rFonts w:cs="Times New Roman" w:ascii="Times New Roman" w:hAnsi="Times New Roman"/>
            <w:sz w:val="24"/>
          </w:rPr>
          <w:fldChar w:fldCharType="begin"/>
        </w:r>
        <w:r>
          <w:instrText> PAGE </w:instrText>
        </w:r>
        <w:r>
          <w:fldChar w:fldCharType="separate"/>
        </w:r>
        <w:r>
          <w:t>4</w:t>
        </w:r>
        <w:r>
          <w:fldChar w:fldCharType="end"/>
        </w:r>
      </w:sdtContent>
    </w:sdt>
  </w:p>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53309297"/>
      </w:sdtPr>
      <w:sdtContent>
        <w:r>
          <w:rPr>
            <w:rFonts w:cs="Times New Roman" w:ascii="Times New Roman" w:hAnsi="Times New Roman"/>
            <w:sz w:val="24"/>
          </w:rPr>
          <w:fldChar w:fldCharType="begin"/>
        </w:r>
        <w:r>
          <w:instrText> PAGE </w:instrText>
        </w:r>
        <w:r>
          <w:fldChar w:fldCharType="separate"/>
        </w:r>
        <w:r>
          <w:t>5</w:t>
        </w:r>
        <w:r>
          <w:fldChar w:fldCharType="end"/>
        </w:r>
      </w:sdtContent>
    </w:sdt>
  </w:p>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849443341"/>
      </w:sdtPr>
      <w:sdtContent>
        <w:r>
          <w:rPr>
            <w:rFonts w:cs="Times New Roman" w:ascii="Times New Roman" w:hAnsi="Times New Roman"/>
            <w:sz w:val="24"/>
          </w:rPr>
          <w:fldChar w:fldCharType="begin"/>
        </w:r>
        <w:r>
          <w:instrText> PAGE </w:instrText>
        </w:r>
        <w:r>
          <w:fldChar w:fldCharType="separate"/>
        </w:r>
        <w:r>
          <w:t>19</w:t>
        </w:r>
        <w:r>
          <w:fldChar w:fldCharType="end"/>
        </w:r>
      </w:sdtContent>
    </w:sdt>
  </w:p>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556682698"/>
      </w:sdtPr>
      <w:sdtContent>
        <w:r>
          <w:rPr>
            <w:rFonts w:cs="Times New Roman" w:ascii="Times New Roman" w:hAnsi="Times New Roman"/>
            <w:sz w:val="24"/>
          </w:rPr>
          <w:fldChar w:fldCharType="begin"/>
        </w:r>
        <w:r>
          <w:instrText> PAGE </w:instrText>
        </w:r>
        <w:r>
          <w:fldChar w:fldCharType="separate"/>
        </w:r>
        <w:r>
          <w:t>20</w:t>
        </w:r>
        <w:r>
          <w:fldChar w:fldCharType="end"/>
        </w:r>
      </w:sdtContent>
    </w:sdt>
  </w:p>
  <w:p>
    <w:pPr>
      <w:pStyle w:val="Style2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2073101862"/>
      </w:sdtPr>
      <w:sdtContent>
        <w:r>
          <w:rPr>
            <w:rFonts w:cs="Times New Roman" w:ascii="Times New Roman" w:hAnsi="Times New Roman"/>
            <w:sz w:val="24"/>
          </w:rPr>
          <w:fldChar w:fldCharType="begin"/>
        </w:r>
        <w:r>
          <w:instrText> PAGE </w:instrText>
        </w:r>
        <w:r>
          <w:fldChar w:fldCharType="separate"/>
        </w:r>
        <w:r>
          <w:t>25</w:t>
        </w:r>
        <w:r>
          <w:fldChar w:fldCharType="end"/>
        </w:r>
      </w:sdtContent>
    </w:sdt>
  </w:p>
  <w:p>
    <w:pPr>
      <w:pStyle w:val="Style28"/>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046311466"/>
      </w:sdtPr>
      <w:sdtContent>
        <w:r>
          <w:rPr>
            <w:rFonts w:cs="Times New Roman" w:ascii="Times New Roman" w:hAnsi="Times New Roman"/>
            <w:sz w:val="24"/>
          </w:rPr>
          <w:fldChar w:fldCharType="begin"/>
        </w:r>
        <w:r>
          <w:instrText> PAGE </w:instrText>
        </w:r>
        <w:r>
          <w:fldChar w:fldCharType="separate"/>
        </w:r>
        <w:r>
          <w:t>26</w:t>
        </w:r>
        <w:r>
          <w:fldChar w:fldCharType="end"/>
        </w:r>
      </w:sdtContent>
    </w:sdt>
  </w:p>
  <w:p>
    <w:pPr>
      <w:pStyle w:val="Style28"/>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964536185"/>
      </w:sdtPr>
      <w:sdtContent>
        <w:r>
          <w:rPr>
            <w:rFonts w:cs="Times New Roman" w:ascii="Times New Roman" w:hAnsi="Times New Roman"/>
            <w:sz w:val="24"/>
          </w:rPr>
          <w:fldChar w:fldCharType="begin"/>
        </w:r>
        <w:r>
          <w:instrText> PAGE </w:instrText>
        </w:r>
        <w:r>
          <w:fldChar w:fldCharType="separate"/>
        </w:r>
        <w:r>
          <w:t>33</w:t>
        </w:r>
        <w:r>
          <w:fldChar w:fldCharType="end"/>
        </w:r>
      </w:sdtContent>
    </w:sdt>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536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b84ba7"/>
    <w:rPr>
      <w:rFonts w:ascii="Tahoma" w:hAnsi="Tahoma" w:cs="Tahoma"/>
      <w:sz w:val="16"/>
      <w:szCs w:val="16"/>
    </w:rPr>
  </w:style>
  <w:style w:type="character" w:styleId="Strong">
    <w:name w:val="Strong"/>
    <w:basedOn w:val="DefaultParagraphFont"/>
    <w:uiPriority w:val="22"/>
    <w:qFormat/>
    <w:rsid w:val="00735434"/>
    <w:rPr>
      <w:b/>
      <w:bCs/>
    </w:rPr>
  </w:style>
  <w:style w:type="character" w:styleId="Style15" w:customStyle="1">
    <w:name w:val="Верхний колонтитул Знак"/>
    <w:basedOn w:val="DefaultParagraphFont"/>
    <w:link w:val="a7"/>
    <w:uiPriority w:val="99"/>
    <w:qFormat/>
    <w:rsid w:val="00692d65"/>
    <w:rPr/>
  </w:style>
  <w:style w:type="character" w:styleId="Style16" w:customStyle="1">
    <w:name w:val="Нижний колонтитул Знак"/>
    <w:basedOn w:val="DefaultParagraphFont"/>
    <w:link w:val="a9"/>
    <w:uiPriority w:val="99"/>
    <w:qFormat/>
    <w:rsid w:val="00692d65"/>
    <w:rPr/>
  </w:style>
  <w:style w:type="character" w:styleId="Style17" w:customStyle="1">
    <w:name w:val="Призрак оперы Знак"/>
    <w:basedOn w:val="DefaultParagraphFont"/>
    <w:link w:val="ab"/>
    <w:qFormat/>
    <w:rsid w:val="00fa4438"/>
    <w:rPr>
      <w:rFonts w:ascii="Times New Roman" w:hAnsi="Times New Roman" w:cs="Times New Roman"/>
      <w:sz w:val="28"/>
      <w:szCs w:val="24"/>
    </w:rPr>
  </w:style>
  <w:style w:type="character" w:styleId="Style18" w:customStyle="1">
    <w:name w:val="Спи Знак"/>
    <w:basedOn w:val="DefaultParagraphFont"/>
    <w:link w:val="a"/>
    <w:qFormat/>
    <w:rsid w:val="00052880"/>
    <w:rPr>
      <w:rFonts w:ascii="Times New Roman" w:hAnsi="Times New Roman" w:cs="Times New Roman"/>
      <w:sz w:val="24"/>
      <w:szCs w:val="24"/>
    </w:rPr>
  </w:style>
  <w:style w:type="character" w:styleId="Style19" w:customStyle="1">
    <w:name w:val="Абзац Знак"/>
    <w:link w:val="ae"/>
    <w:qFormat/>
    <w:rsid w:val="00a12c14"/>
    <w:rPr>
      <w:rFonts w:ascii="Times New Roman" w:hAnsi="Times New Roman" w:eastAsia="Times New Roman" w:cs="Times New Roman"/>
      <w:sz w:val="24"/>
      <w:szCs w:val="24"/>
    </w:rPr>
  </w:style>
  <w:style w:type="character" w:styleId="WW8Num5z0" w:customStyle="1">
    <w:name w:val="WW8Num5z0"/>
    <w:qFormat/>
    <w:rsid w:val="00ec0eea"/>
    <w:rPr>
      <w:rFonts w:ascii="Symbol" w:hAnsi="Symbol"/>
    </w:rPr>
  </w:style>
  <w:style w:type="character" w:styleId="Style20" w:customStyle="1">
    <w:name w:val="таблбаб Знак"/>
    <w:basedOn w:val="Style17"/>
    <w:link w:val="af1"/>
    <w:qFormat/>
    <w:rsid w:val="009b0ec5"/>
    <w:rPr>
      <w:rFonts w:ascii="Times New Roman" w:hAnsi="Times New Roman" w:cs="Times New Roman"/>
      <w:sz w:val="24"/>
      <w:szCs w:val="24"/>
    </w:rPr>
  </w:style>
  <w:style w:type="character" w:styleId="ListLabel1">
    <w:name w:val="ListLabel 1"/>
    <w:qFormat/>
    <w:rPr>
      <w:rFonts w:eastAsia=""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Symbol"/>
      <w:sz w:val="24"/>
    </w:rPr>
  </w:style>
  <w:style w:type="character" w:styleId="Style21">
    <w:name w:val="Интернет-ссылка"/>
    <w:rPr>
      <w:color w:val="000080"/>
      <w:u w:val="single"/>
      <w:lang w:val="zxx" w:eastAsia="zxx" w:bidi="zxx"/>
    </w:rPr>
  </w:style>
  <w:style w:type="paragraph" w:styleId="Style22">
    <w:name w:val="Заголовок"/>
    <w:basedOn w:val="Normal"/>
    <w:next w:val="Style23"/>
    <w:qFormat/>
    <w:pPr>
      <w:keepNext/>
      <w:spacing w:before="240" w:after="120"/>
    </w:pPr>
    <w:rPr>
      <w:rFonts w:ascii="Liberation Sans" w:hAnsi="Liberation Sans" w:eastAsia="Microsoft YaHei" w:cs="Ari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b84ba7"/>
    <w:pPr>
      <w:spacing w:lineRule="auto" w:line="240" w:before="0" w:after="0"/>
    </w:pPr>
    <w:rPr>
      <w:rFonts w:ascii="Tahoma" w:hAnsi="Tahoma" w:cs="Tahoma"/>
      <w:sz w:val="16"/>
      <w:szCs w:val="16"/>
    </w:rPr>
  </w:style>
  <w:style w:type="paragraph" w:styleId="Style27">
    <w:name w:val="Header"/>
    <w:basedOn w:val="Normal"/>
    <w:link w:val="a8"/>
    <w:uiPriority w:val="99"/>
    <w:unhideWhenUsed/>
    <w:rsid w:val="00692d65"/>
    <w:pPr>
      <w:tabs>
        <w:tab w:val="center" w:pos="4677" w:leader="none"/>
        <w:tab w:val="right" w:pos="9355" w:leader="none"/>
      </w:tabs>
      <w:spacing w:lineRule="auto" w:line="240" w:before="0" w:after="0"/>
    </w:pPr>
    <w:rPr/>
  </w:style>
  <w:style w:type="paragraph" w:styleId="Style28">
    <w:name w:val="Footer"/>
    <w:basedOn w:val="Normal"/>
    <w:link w:val="aa"/>
    <w:uiPriority w:val="99"/>
    <w:unhideWhenUsed/>
    <w:rsid w:val="00692d65"/>
    <w:pPr>
      <w:tabs>
        <w:tab w:val="center" w:pos="4677" w:leader="none"/>
        <w:tab w:val="right" w:pos="9355" w:leader="none"/>
      </w:tabs>
      <w:spacing w:lineRule="auto" w:line="240" w:before="0" w:after="0"/>
    </w:pPr>
    <w:rPr/>
  </w:style>
  <w:style w:type="paragraph" w:styleId="Style29" w:customStyle="1">
    <w:name w:val="Призрак оперы"/>
    <w:basedOn w:val="Normal"/>
    <w:link w:val="ac"/>
    <w:qFormat/>
    <w:rsid w:val="00fa4438"/>
    <w:pPr>
      <w:widowControl w:val="false"/>
      <w:overflowPunct w:val="true"/>
      <w:spacing w:lineRule="auto" w:line="240" w:before="120" w:after="120"/>
      <w:ind w:firstLine="567"/>
      <w:jc w:val="both"/>
    </w:pPr>
    <w:rPr>
      <w:rFonts w:ascii="Times New Roman" w:hAnsi="Times New Roman" w:cs="Times New Roman"/>
      <w:sz w:val="28"/>
      <w:szCs w:val="24"/>
    </w:rPr>
  </w:style>
  <w:style w:type="paragraph" w:styleId="Style30" w:customStyle="1">
    <w:name w:val="Спи"/>
    <w:basedOn w:val="Normal"/>
    <w:link w:val="ad"/>
    <w:qFormat/>
    <w:rsid w:val="00052880"/>
    <w:pPr>
      <w:widowControl w:val="false"/>
      <w:tabs>
        <w:tab w:val="left" w:pos="1134" w:leader="none"/>
      </w:tabs>
      <w:overflowPunct w:val="true"/>
      <w:spacing w:lineRule="auto" w:line="240" w:before="0" w:after="0"/>
      <w:ind w:left="0" w:firstLine="719"/>
      <w:jc w:val="both"/>
    </w:pPr>
    <w:rPr>
      <w:rFonts w:ascii="Times New Roman" w:hAnsi="Times New Roman" w:cs="Times New Roman"/>
      <w:sz w:val="24"/>
      <w:szCs w:val="24"/>
    </w:rPr>
  </w:style>
  <w:style w:type="paragraph" w:styleId="2">
    <w:name w:val="TOC 2"/>
    <w:basedOn w:val="Normal"/>
    <w:autoRedefine/>
    <w:uiPriority w:val="39"/>
    <w:unhideWhenUsed/>
    <w:rsid w:val="00a12c14"/>
    <w:pPr>
      <w:tabs>
        <w:tab w:val="right" w:pos="9781" w:leader="dot"/>
      </w:tabs>
      <w:spacing w:before="0" w:after="100"/>
      <w:ind w:left="220" w:hanging="0"/>
    </w:pPr>
    <w:rPr>
      <w:rFonts w:ascii="Times New Roman" w:hAnsi="Times New Roman" w:eastAsia="Times New Roman" w:cs="Times New Roman"/>
      <w:sz w:val="24"/>
    </w:rPr>
  </w:style>
  <w:style w:type="paragraph" w:styleId="Style31" w:customStyle="1">
    <w:name w:val="Абзац"/>
    <w:basedOn w:val="Normal"/>
    <w:link w:val="af"/>
    <w:qFormat/>
    <w:rsid w:val="00a12c14"/>
    <w:pPr>
      <w:spacing w:lineRule="auto" w:line="240" w:before="120" w:after="60"/>
      <w:ind w:firstLine="567"/>
      <w:jc w:val="both"/>
    </w:pPr>
    <w:rPr>
      <w:rFonts w:ascii="Times New Roman" w:hAnsi="Times New Roman" w:eastAsia="Times New Roman" w:cs="Times New Roman"/>
      <w:sz w:val="24"/>
      <w:szCs w:val="24"/>
    </w:rPr>
  </w:style>
  <w:style w:type="paragraph" w:styleId="Style32" w:customStyle="1">
    <w:name w:val="таблбаб"/>
    <w:basedOn w:val="Style29"/>
    <w:link w:val="af2"/>
    <w:qFormat/>
    <w:rsid w:val="009b0ec5"/>
    <w:pPr>
      <w:spacing w:before="0" w:after="0"/>
      <w:ind w:hanging="0"/>
      <w:jc w:val="center"/>
    </w:pPr>
    <w:rPr>
      <w:sz w:val="24"/>
    </w:rPr>
  </w:style>
  <w:style w:type="paragraph" w:styleId="Oaieaaaa" w:customStyle="1">
    <w:name w:val="Oaiea (aa?a)"/>
    <w:basedOn w:val="Normal"/>
    <w:qFormat/>
    <w:rsid w:val="003a3a34"/>
    <w:pPr>
      <w:spacing w:lineRule="auto" w:line="240" w:before="0" w:after="0"/>
      <w:jc w:val="right"/>
    </w:pPr>
    <w:rPr>
      <w:rFonts w:ascii="Century Schoolbook" w:hAnsi="Century Schoolbook" w:eastAsia="Times New Roman" w:cs="Times New Roman"/>
      <w:sz w:val="24"/>
      <w:szCs w:val="20"/>
    </w:rPr>
  </w:style>
  <w:style w:type="paragraph" w:styleId="ConsNonformat" w:customStyle="1">
    <w:name w:val="ConsNonformat"/>
    <w:qFormat/>
    <w:rsid w:val="003a3a34"/>
    <w:pPr>
      <w:widowControl w:val="false"/>
      <w:bidi w:val="0"/>
      <w:spacing w:lineRule="auto" w:line="240"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a3a34"/>
    <w:pPr>
      <w:widowControl/>
      <w:bidi w:val="0"/>
      <w:spacing w:lineRule="auto" w:line="240" w:before="0" w:after="0"/>
      <w:jc w:val="left"/>
    </w:pPr>
    <w:rPr>
      <w:rFonts w:ascii="Times New Roman" w:hAnsi="Times New Roman" w:eastAsia="Calibri" w:cs="Times New Roman"/>
      <w:b/>
      <w:bCs/>
      <w:color w:val="auto"/>
      <w:kern w:val="0"/>
      <w:sz w:val="24"/>
      <w:szCs w:val="24"/>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c31ca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3.xml"/><Relationship Id="rId8" Type="http://schemas.openxmlformats.org/officeDocument/2006/relationships/image" Target="media/image4.jpeg"/><Relationship Id="rId9" Type="http://schemas.openxmlformats.org/officeDocument/2006/relationships/footer" Target="footer4.xml"/><Relationship Id="rId10" Type="http://schemas.openxmlformats.org/officeDocument/2006/relationships/hyperlink" Target="http://ru.wikipedia.org/wiki/&#1040;&#1085;&#1075;&#1072;&#1088;&#1072;_(&#1088;&#1077;&#1082;&#1072;)" TargetMode="External"/><Relationship Id="rId11" Type="http://schemas.openxmlformats.org/officeDocument/2006/relationships/hyperlink" Target="http://ru.wikipedia.org/wiki/&#1042;&#1086;&#1089;&#1090;&#1086;&#1095;&#1085;&#1099;&#1081;_&#1057;&#1072;&#1103;&#1085;" TargetMode="External"/><Relationship Id="rId12" Type="http://schemas.openxmlformats.org/officeDocument/2006/relationships/hyperlink" Target="http://ru.wikipedia.org/wiki/&#1041;&#1088;&#1072;&#1090;&#1089;&#1082;&#1086;&#1077;_&#1074;&#1086;&#1076;&#1086;&#1093;&#1088;&#1072;&#1085;&#1080;&#1083;&#1080;&#1097;&#1077;" TargetMode="External"/><Relationship Id="rId13" Type="http://schemas.openxmlformats.org/officeDocument/2006/relationships/hyperlink" Target="http://ru.wikipedia.org/wiki/&#1058;&#1091;&#1083;&#1091;&#1085;" TargetMode="External"/><Relationship Id="rId14" Type="http://schemas.openxmlformats.org/officeDocument/2006/relationships/hyperlink" Target="http://ru.wikipedia.org/wiki/&#1050;&#1080;&#1088;&#1077;&#1081;_(&#1088;&#1077;&#1082;&#1072;)" TargetMode="External"/><Relationship Id="rId15" Type="http://schemas.openxmlformats.org/officeDocument/2006/relationships/hyperlink" Target="http://ru.wikipedia.org/w/index.php?title=&#1048;&#1082;&#1077;&#1081;_(&#1088;&#1077;&#1082;&#1072;)&amp;action=edit&amp;redlink=1" TargetMode="External"/><Relationship Id="rId16" Type="http://schemas.openxmlformats.org/officeDocument/2006/relationships/hyperlink" Target="http://ru.wikipedia.org/w/index.php?title=&#1048;&#1083;&#1080;&#1088;_(&#1088;&#1077;&#1082;&#1072;)&amp;action=edit&amp;redlink=1" TargetMode="Externa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chart" Target="charts/chart1.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oter" Target="footer7.xml"/><Relationship Id="rId23" Type="http://schemas.openxmlformats.org/officeDocument/2006/relationships/image" Target="media/image7.jpeg"/><Relationship Id="rId24" Type="http://schemas.openxmlformats.org/officeDocument/2006/relationships/footer" Target="footer8.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varyColors val="0"/>
        <c:grouping val="standard"/>
        <c:ser>
          <c:idx val="0"/>
          <c:order val="0"/>
          <c:tx>
            <c:strRef>
              <c:f>label 0</c:f>
              <c:strCache>
                <c:ptCount val="1"/>
                <c:pt idx="0">
                  <c:v>Подающий трубопровод</c:v>
                </c:pt>
              </c:strCache>
            </c:strRef>
          </c:tx>
          <c:spPr>
            <a:solidFill>
              <a:srgbClr val="be4b48"/>
            </a:solidFill>
            <a:ln w="28440">
              <a:solidFill>
                <a:srgbClr val="be4b48"/>
              </a:solidFill>
              <a:round/>
            </a:ln>
          </c:spPr>
          <c:marker>
            <c:symbol val="none"/>
          </c:marker>
          <c:dLbls>
            <c:dLblPos val="r"/>
            <c:showLegendKey val="0"/>
            <c:showVal val="0"/>
            <c:showCatName val="0"/>
            <c:showSerName val="0"/>
            <c:showPercent val="0"/>
            <c:showLeaderLines val="0"/>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0</c:f>
              <c:numCache>
                <c:formatCode>General</c:formatCode>
                <c:ptCount val="52"/>
                <c:pt idx="0">
                  <c:v>38</c:v>
                </c:pt>
                <c:pt idx="1">
                  <c:v>39</c:v>
                </c:pt>
                <c:pt idx="2">
                  <c:v>40</c:v>
                </c:pt>
                <c:pt idx="3">
                  <c:v>41</c:v>
                </c:pt>
                <c:pt idx="4">
                  <c:v>42</c:v>
                </c:pt>
                <c:pt idx="5">
                  <c:v>43</c:v>
                </c:pt>
                <c:pt idx="6">
                  <c:v>45</c:v>
                </c:pt>
                <c:pt idx="7">
                  <c:v>46</c:v>
                </c:pt>
                <c:pt idx="8">
                  <c:v>47</c:v>
                </c:pt>
                <c:pt idx="9">
                  <c:v>49</c:v>
                </c:pt>
                <c:pt idx="10">
                  <c:v>49</c:v>
                </c:pt>
                <c:pt idx="11">
                  <c:v>50</c:v>
                </c:pt>
                <c:pt idx="12">
                  <c:v>51</c:v>
                </c:pt>
                <c:pt idx="13">
                  <c:v>52</c:v>
                </c:pt>
                <c:pt idx="14">
                  <c:v>53</c:v>
                </c:pt>
                <c:pt idx="15">
                  <c:v>55</c:v>
                </c:pt>
                <c:pt idx="16">
                  <c:v>57</c:v>
                </c:pt>
                <c:pt idx="17">
                  <c:v>58</c:v>
                </c:pt>
                <c:pt idx="18">
                  <c:v>60</c:v>
                </c:pt>
                <c:pt idx="19">
                  <c:v>61</c:v>
                </c:pt>
                <c:pt idx="20">
                  <c:v>62</c:v>
                </c:pt>
                <c:pt idx="21">
                  <c:v>64</c:v>
                </c:pt>
                <c:pt idx="22">
                  <c:v>65</c:v>
                </c:pt>
                <c:pt idx="23">
                  <c:v>66</c:v>
                </c:pt>
                <c:pt idx="24">
                  <c:v>67</c:v>
                </c:pt>
                <c:pt idx="25">
                  <c:v>68</c:v>
                </c:pt>
                <c:pt idx="26">
                  <c:v>70</c:v>
                </c:pt>
                <c:pt idx="27">
                  <c:v>71</c:v>
                </c:pt>
                <c:pt idx="28">
                  <c:v>72</c:v>
                </c:pt>
                <c:pt idx="29">
                  <c:v>72</c:v>
                </c:pt>
                <c:pt idx="30">
                  <c:v>73</c:v>
                </c:pt>
                <c:pt idx="31">
                  <c:v>74</c:v>
                </c:pt>
                <c:pt idx="32">
                  <c:v>75</c:v>
                </c:pt>
                <c:pt idx="33">
                  <c:v>76</c:v>
                </c:pt>
                <c:pt idx="34">
                  <c:v>77</c:v>
                </c:pt>
                <c:pt idx="35">
                  <c:v>78</c:v>
                </c:pt>
                <c:pt idx="36">
                  <c:v>79</c:v>
                </c:pt>
                <c:pt idx="37">
                  <c:v>80</c:v>
                </c:pt>
                <c:pt idx="38">
                  <c:v>81</c:v>
                </c:pt>
                <c:pt idx="39">
                  <c:v>83</c:v>
                </c:pt>
                <c:pt idx="40">
                  <c:v>84</c:v>
                </c:pt>
                <c:pt idx="41">
                  <c:v>85</c:v>
                </c:pt>
                <c:pt idx="42">
                  <c:v>86</c:v>
                </c:pt>
                <c:pt idx="43">
                  <c:v>87</c:v>
                </c:pt>
                <c:pt idx="44">
                  <c:v>88</c:v>
                </c:pt>
                <c:pt idx="45">
                  <c:v>89</c:v>
                </c:pt>
                <c:pt idx="46">
                  <c:v>89</c:v>
                </c:pt>
                <c:pt idx="47">
                  <c:v>91</c:v>
                </c:pt>
                <c:pt idx="48">
                  <c:v>92</c:v>
                </c:pt>
                <c:pt idx="49">
                  <c:v>93</c:v>
                </c:pt>
                <c:pt idx="50">
                  <c:v>94</c:v>
                </c:pt>
                <c:pt idx="51">
                  <c:v>95</c:v>
                </c:pt>
              </c:numCache>
            </c:numRef>
          </c:val>
          <c:smooth val="0"/>
        </c:ser>
        <c:ser>
          <c:idx val="1"/>
          <c:order val="1"/>
          <c:tx>
            <c:strRef>
              <c:f>label 1</c:f>
              <c:strCache>
                <c:ptCount val="1"/>
                <c:pt idx="0">
                  <c:v>Обратный трубопровод</c:v>
                </c:pt>
              </c:strCache>
            </c:strRef>
          </c:tx>
          <c:spPr>
            <a:solidFill>
              <a:srgbClr val="98b855"/>
            </a:solidFill>
            <a:ln w="28440">
              <a:solidFill>
                <a:srgbClr val="98b855"/>
              </a:solidFill>
              <a:round/>
            </a:ln>
          </c:spPr>
          <c:marker>
            <c:symbol val="none"/>
          </c:marker>
          <c:dLbls>
            <c:dLblPos val="r"/>
            <c:showLegendKey val="0"/>
            <c:showVal val="0"/>
            <c:showCatName val="0"/>
            <c:showSerName val="0"/>
            <c:showPercent val="0"/>
            <c:showLeaderLines val="0"/>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1</c:f>
              <c:numCache>
                <c:formatCode>General</c:formatCode>
                <c:ptCount val="52"/>
                <c:pt idx="0">
                  <c:v>34</c:v>
                </c:pt>
                <c:pt idx="1">
                  <c:v>34</c:v>
                </c:pt>
                <c:pt idx="2">
                  <c:v>35</c:v>
                </c:pt>
                <c:pt idx="3">
                  <c:v>36</c:v>
                </c:pt>
                <c:pt idx="4">
                  <c:v>36</c:v>
                </c:pt>
                <c:pt idx="5">
                  <c:v>37</c:v>
                </c:pt>
                <c:pt idx="6">
                  <c:v>38</c:v>
                </c:pt>
                <c:pt idx="7">
                  <c:v>39</c:v>
                </c:pt>
                <c:pt idx="8">
                  <c:v>40</c:v>
                </c:pt>
                <c:pt idx="9">
                  <c:v>41</c:v>
                </c:pt>
                <c:pt idx="10">
                  <c:v>42</c:v>
                </c:pt>
                <c:pt idx="11">
                  <c:v>42</c:v>
                </c:pt>
                <c:pt idx="12">
                  <c:v>43</c:v>
                </c:pt>
                <c:pt idx="13">
                  <c:v>44</c:v>
                </c:pt>
                <c:pt idx="14">
                  <c:v>45</c:v>
                </c:pt>
                <c:pt idx="15">
                  <c:v>46</c:v>
                </c:pt>
                <c:pt idx="16">
                  <c:v>46</c:v>
                </c:pt>
                <c:pt idx="17">
                  <c:v>47</c:v>
                </c:pt>
                <c:pt idx="18">
                  <c:v>48</c:v>
                </c:pt>
                <c:pt idx="19">
                  <c:v>49</c:v>
                </c:pt>
                <c:pt idx="20">
                  <c:v>49</c:v>
                </c:pt>
                <c:pt idx="21">
                  <c:v>50</c:v>
                </c:pt>
                <c:pt idx="22">
                  <c:v>51</c:v>
                </c:pt>
                <c:pt idx="23">
                  <c:v>51</c:v>
                </c:pt>
                <c:pt idx="24">
                  <c:v>52</c:v>
                </c:pt>
                <c:pt idx="25">
                  <c:v>53</c:v>
                </c:pt>
                <c:pt idx="26">
                  <c:v>54</c:v>
                </c:pt>
                <c:pt idx="27">
                  <c:v>54</c:v>
                </c:pt>
                <c:pt idx="28">
                  <c:v>55</c:v>
                </c:pt>
                <c:pt idx="29">
                  <c:v>56</c:v>
                </c:pt>
                <c:pt idx="30">
                  <c:v>56</c:v>
                </c:pt>
                <c:pt idx="31">
                  <c:v>57</c:v>
                </c:pt>
                <c:pt idx="32">
                  <c:v>58</c:v>
                </c:pt>
                <c:pt idx="33">
                  <c:v>58</c:v>
                </c:pt>
                <c:pt idx="34">
                  <c:v>59</c:v>
                </c:pt>
                <c:pt idx="35">
                  <c:v>60</c:v>
                </c:pt>
                <c:pt idx="36">
                  <c:v>60</c:v>
                </c:pt>
                <c:pt idx="37">
                  <c:v>61</c:v>
                </c:pt>
                <c:pt idx="38">
                  <c:v>62</c:v>
                </c:pt>
                <c:pt idx="39">
                  <c:v>62</c:v>
                </c:pt>
                <c:pt idx="40">
                  <c:v>63</c:v>
                </c:pt>
                <c:pt idx="41">
                  <c:v>64</c:v>
                </c:pt>
                <c:pt idx="42">
                  <c:v>64</c:v>
                </c:pt>
                <c:pt idx="43">
                  <c:v>65</c:v>
                </c:pt>
                <c:pt idx="44">
                  <c:v>66</c:v>
                </c:pt>
                <c:pt idx="45">
                  <c:v>66</c:v>
                </c:pt>
                <c:pt idx="46">
                  <c:v>67</c:v>
                </c:pt>
                <c:pt idx="47">
                  <c:v>68</c:v>
                </c:pt>
                <c:pt idx="48">
                  <c:v>68</c:v>
                </c:pt>
                <c:pt idx="49">
                  <c:v>69</c:v>
                </c:pt>
                <c:pt idx="50">
                  <c:v>69</c:v>
                </c:pt>
                <c:pt idx="51">
                  <c:v>70</c:v>
                </c:pt>
              </c:numCache>
            </c:numRef>
          </c:val>
          <c:smooth val="0"/>
        </c:ser>
        <c:hiLowLines>
          <c:spPr>
            <a:ln>
              <a:noFill/>
            </a:ln>
          </c:spPr>
        </c:hiLowLines>
        <c:marker val="0"/>
        <c:axId val="2433094"/>
        <c:axId val="70292551"/>
      </c:lineChart>
      <c:catAx>
        <c:axId val="2433094"/>
        <c:scaling>
          <c:orientation val="minMax"/>
        </c:scaling>
        <c:delete val="0"/>
        <c:axPos val="b"/>
        <c:numFmt formatCode="MM/DD/YYYY" sourceLinked="1"/>
        <c:majorTickMark val="out"/>
        <c:minorTickMark val="none"/>
        <c:tickLblPos val="nextTo"/>
        <c:spPr>
          <a:ln w="9360">
            <a:solidFill>
              <a:srgbClr val="878787"/>
            </a:solidFill>
            <a:round/>
          </a:ln>
        </c:spPr>
        <c:txPr>
          <a:bodyPr/>
          <a:p>
            <a:pPr>
              <a:defRPr b="0" sz="1000" spc="-1" strike="noStrike">
                <a:solidFill>
                  <a:srgbClr val="000000"/>
                </a:solidFill>
                <a:latin typeface="Calibri"/>
              </a:defRPr>
            </a:pPr>
          </a:p>
        </c:txPr>
        <c:crossAx val="70292551"/>
        <c:crosses val="autoZero"/>
        <c:auto val="1"/>
        <c:lblAlgn val="ctr"/>
        <c:lblOffset val="100"/>
      </c:catAx>
      <c:valAx>
        <c:axId val="7029255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latin typeface="Calibri"/>
              </a:defRPr>
            </a:pPr>
          </a:p>
        </c:txPr>
        <c:crossAx val="2433094"/>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4584-F481-47F5-BAB9-296EFD3E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Application>LibreOffice/5.4.1.2$Windows_x86 LibreOffice_project/ea7cb86e6eeb2bf3a5af73a8f7777ac570321527</Application>
  <Pages>40</Pages>
  <Words>9641</Words>
  <Characters>69534</Characters>
  <CharactersWithSpaces>78045</CharactersWithSpaces>
  <Paragraphs>1463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2014-09-24T08:29:00Z</dcterms:created>
  <dc:creator>asus-user2</dc:creator>
  <dc:description/>
  <dc:language>ru-RU</dc:language>
  <cp:lastModifiedBy/>
  <cp:lastPrinted>2014-12-15T08:45:00Z</cp:lastPrinted>
  <dcterms:modified xsi:type="dcterms:W3CDTF">2019-08-20T13:42:53Z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